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07CC9" w14:textId="4576083D" w:rsidR="002C288D" w:rsidRPr="00641FBB" w:rsidRDefault="008044FC" w:rsidP="00186BFB">
      <w:pPr>
        <w:pStyle w:val="Title"/>
        <w:jc w:val="left"/>
      </w:pPr>
      <w:bookmarkStart w:id="0" w:name="_GoBack"/>
      <w:bookmarkEnd w:id="0"/>
      <w:r w:rsidRPr="00641FBB">
        <w:t>International and Regional Procedures</w:t>
      </w:r>
    </w:p>
    <w:p w14:paraId="17D01E56" w14:textId="77777777" w:rsidR="008044FC" w:rsidRPr="00641FBB" w:rsidRDefault="00C1223B" w:rsidP="00186BFB">
      <w:pPr>
        <w:pStyle w:val="Heading1"/>
      </w:pPr>
      <w:r w:rsidRPr="00641FBB">
        <w:t xml:space="preserve">4.1 </w:t>
      </w:r>
      <w:r w:rsidR="008044FC" w:rsidRPr="00641FBB">
        <w:t>Introduction</w:t>
      </w:r>
    </w:p>
    <w:p w14:paraId="262891A0" w14:textId="15FE2225" w:rsidR="00AA5E0F" w:rsidRPr="00641FBB" w:rsidRDefault="00B66941" w:rsidP="00B66941">
      <w:r w:rsidRPr="00641FBB">
        <w:t>International and regional human rights</w:t>
      </w:r>
      <w:r w:rsidR="00301ABA" w:rsidRPr="00641FBB">
        <w:t xml:space="preserve"> monitoring</w:t>
      </w:r>
      <w:r w:rsidR="00AA5E0F" w:rsidRPr="00641FBB">
        <w:t xml:space="preserve"> </w:t>
      </w:r>
      <w:r w:rsidRPr="00641FBB">
        <w:t xml:space="preserve">mechanisms play an important role in </w:t>
      </w:r>
      <w:r w:rsidR="005D2ABC" w:rsidRPr="00641FBB">
        <w:t xml:space="preserve">implementing </w:t>
      </w:r>
      <w:r w:rsidR="00AA5E0F" w:rsidRPr="00641FBB">
        <w:t xml:space="preserve">human </w:t>
      </w:r>
      <w:r w:rsidRPr="00641FBB">
        <w:t xml:space="preserve">rights. These mechanisms </w:t>
      </w:r>
      <w:r w:rsidR="00AA5E0F" w:rsidRPr="00641FBB">
        <w:t xml:space="preserve">have been </w:t>
      </w:r>
      <w:r w:rsidRPr="00641FBB">
        <w:t xml:space="preserve">established to </w:t>
      </w:r>
      <w:r w:rsidR="00301ABA" w:rsidRPr="00641FBB">
        <w:t>increase</w:t>
      </w:r>
      <w:r w:rsidRPr="00641FBB">
        <w:t xml:space="preserve"> </w:t>
      </w:r>
      <w:r w:rsidR="002B7A66">
        <w:t>s</w:t>
      </w:r>
      <w:r w:rsidR="00DB595A" w:rsidRPr="00641FBB">
        <w:t>tates’</w:t>
      </w:r>
      <w:r w:rsidRPr="00641FBB">
        <w:t xml:space="preserve"> compliance with international and regional human rights treaties that they have ratified. While treaties </w:t>
      </w:r>
      <w:r w:rsidR="00AA5E0F" w:rsidRPr="00641FBB">
        <w:t>are</w:t>
      </w:r>
      <w:r w:rsidRPr="00641FBB">
        <w:t xml:space="preserve"> legally binding international law, </w:t>
      </w:r>
      <w:r w:rsidR="00AA5E0F" w:rsidRPr="00641FBB">
        <w:t xml:space="preserve">treaty interpretations issued by </w:t>
      </w:r>
      <w:r w:rsidR="00301ABA" w:rsidRPr="00641FBB">
        <w:t xml:space="preserve">these </w:t>
      </w:r>
      <w:r w:rsidR="00D6697B" w:rsidRPr="00641FBB">
        <w:t xml:space="preserve">human rights </w:t>
      </w:r>
      <w:r w:rsidR="00301ABA" w:rsidRPr="00641FBB">
        <w:t>monitoring mechanisms</w:t>
      </w:r>
      <w:r w:rsidR="00AA5E0F" w:rsidRPr="00641FBB">
        <w:t xml:space="preserve"> are </w:t>
      </w:r>
      <w:r w:rsidRPr="00641FBB">
        <w:t xml:space="preserve">not directly binding on </w:t>
      </w:r>
      <w:r w:rsidR="002B7A66">
        <w:t>s</w:t>
      </w:r>
      <w:r w:rsidR="00A3289B" w:rsidRPr="00641FBB">
        <w:t>tates</w:t>
      </w:r>
      <w:r w:rsidR="00F24618" w:rsidRPr="00641FBB">
        <w:t xml:space="preserve">, </w:t>
      </w:r>
      <w:r w:rsidR="00D95B1A" w:rsidRPr="00641FBB">
        <w:t>although</w:t>
      </w:r>
      <w:r w:rsidR="00F24618" w:rsidRPr="00641FBB">
        <w:t xml:space="preserve"> several bodies have the mandate to issue legally binding rulings</w:t>
      </w:r>
      <w:r w:rsidRPr="00641FBB">
        <w:t xml:space="preserve">. </w:t>
      </w:r>
      <w:r w:rsidR="00F305D3" w:rsidRPr="00641FBB">
        <w:t xml:space="preserve"> </w:t>
      </w:r>
      <w:r w:rsidR="00514F78" w:rsidRPr="00641FBB">
        <w:t>Moreover, t</w:t>
      </w:r>
      <w:r w:rsidR="00F305D3" w:rsidRPr="00641FBB">
        <w:t>reaty interpretations by these bodies have been influential even at the domestic level.</w:t>
      </w:r>
      <w:r w:rsidR="00F305D3" w:rsidRPr="00641FBB">
        <w:rPr>
          <w:rStyle w:val="FootnoteReference"/>
        </w:rPr>
        <w:footnoteReference w:id="1"/>
      </w:r>
    </w:p>
    <w:p w14:paraId="03B7B8D7" w14:textId="02623406" w:rsidR="00AA5E0F" w:rsidRPr="00641FBB" w:rsidRDefault="00C1223B" w:rsidP="00AA5E0F">
      <w:r w:rsidRPr="00641FBB">
        <w:t>In general, h</w:t>
      </w:r>
      <w:r w:rsidR="00AA5E0F" w:rsidRPr="00641FBB">
        <w:t xml:space="preserve">uman rights monitoring </w:t>
      </w:r>
      <w:r w:rsidR="00B66941" w:rsidRPr="00641FBB">
        <w:t>mechanisms</w:t>
      </w:r>
      <w:r w:rsidR="00AA5E0F" w:rsidRPr="00641FBB">
        <w:t xml:space="preserve"> </w:t>
      </w:r>
      <w:r w:rsidRPr="00641FBB">
        <w:t>take the form of either:</w:t>
      </w:r>
    </w:p>
    <w:p w14:paraId="3A3AD3C4" w14:textId="5602FC4D" w:rsidR="00AA5E0F" w:rsidRPr="00641FBB" w:rsidRDefault="00C1223B" w:rsidP="00F305D3">
      <w:pPr>
        <w:pStyle w:val="ListParagraph"/>
        <w:numPr>
          <w:ilvl w:val="0"/>
          <w:numId w:val="5"/>
        </w:numPr>
      </w:pPr>
      <w:r w:rsidRPr="00641FBB">
        <w:t>an adjudicative body that</w:t>
      </w:r>
      <w:r w:rsidR="00AA5E0F" w:rsidRPr="00641FBB">
        <w:t xml:space="preserve"> acts in a judicial capacity and issues rulings that are binding on </w:t>
      </w:r>
      <w:r w:rsidR="00A3289B" w:rsidRPr="00641FBB">
        <w:t>States parties</w:t>
      </w:r>
      <w:r w:rsidR="00AA5E0F" w:rsidRPr="00641FBB">
        <w:t xml:space="preserve"> that have ratified the</w:t>
      </w:r>
      <w:r w:rsidRPr="00641FBB">
        <w:t xml:space="preserve"> </w:t>
      </w:r>
      <w:r w:rsidR="008C0E3B" w:rsidRPr="00641FBB">
        <w:t>respective</w:t>
      </w:r>
      <w:r w:rsidRPr="00641FBB">
        <w:t xml:space="preserve"> </w:t>
      </w:r>
      <w:r w:rsidR="00AA5E0F" w:rsidRPr="00641FBB">
        <w:t>treaty; or</w:t>
      </w:r>
    </w:p>
    <w:p w14:paraId="7DDAE0DD" w14:textId="382DF454" w:rsidR="00AA5E0F" w:rsidRPr="00641FBB" w:rsidRDefault="00C1223B" w:rsidP="00F305D3">
      <w:pPr>
        <w:pStyle w:val="ListParagraph"/>
        <w:numPr>
          <w:ilvl w:val="0"/>
          <w:numId w:val="5"/>
        </w:numPr>
      </w:pPr>
      <w:r w:rsidRPr="00641FBB">
        <w:t>a body that</w:t>
      </w:r>
      <w:r w:rsidR="00AA5E0F" w:rsidRPr="00641FBB">
        <w:t xml:space="preserve"> examines reports submitted by </w:t>
      </w:r>
      <w:r w:rsidR="00A3289B" w:rsidRPr="00641FBB">
        <w:t>States parties</w:t>
      </w:r>
      <w:r w:rsidR="00AA5E0F" w:rsidRPr="00641FBB">
        <w:t xml:space="preserve"> on their compliance with </w:t>
      </w:r>
      <w:r w:rsidR="004B0623" w:rsidRPr="00641FBB">
        <w:t>the</w:t>
      </w:r>
      <w:r w:rsidR="008C0E3B" w:rsidRPr="00641FBB">
        <w:t xml:space="preserve"> respective </w:t>
      </w:r>
      <w:r w:rsidR="00AA5E0F" w:rsidRPr="00641FBB">
        <w:t>human rights treaties</w:t>
      </w:r>
      <w:r w:rsidRPr="00641FBB">
        <w:t xml:space="preserve"> </w:t>
      </w:r>
      <w:r w:rsidR="00AA5E0F" w:rsidRPr="00641FBB">
        <w:t>and, in some cases, examine individual</w:t>
      </w:r>
      <w:r w:rsidR="00B36136" w:rsidRPr="00641FBB">
        <w:t xml:space="preserve"> or group</w:t>
      </w:r>
      <w:r w:rsidR="00AA5E0F" w:rsidRPr="00641FBB">
        <w:t xml:space="preserve"> complaints of human rights violations</w:t>
      </w:r>
      <w:r w:rsidRPr="00641FBB">
        <w:t xml:space="preserve"> under those treaties</w:t>
      </w:r>
      <w:r w:rsidR="00AA5E0F" w:rsidRPr="00641FBB">
        <w:t>.</w:t>
      </w:r>
    </w:p>
    <w:p w14:paraId="6E3A2226" w14:textId="6F9E2249" w:rsidR="008166A8" w:rsidRPr="00641FBB" w:rsidRDefault="008166A8" w:rsidP="008166A8">
      <w:r w:rsidRPr="00641FBB">
        <w:t xml:space="preserve">This chapter is intended to serve as </w:t>
      </w:r>
      <w:r w:rsidR="00E03DDD" w:rsidRPr="00641FBB">
        <w:t xml:space="preserve">a </w:t>
      </w:r>
      <w:r w:rsidRPr="00641FBB">
        <w:t xml:space="preserve">quick reference </w:t>
      </w:r>
      <w:r w:rsidR="00E03DDD" w:rsidRPr="00641FBB">
        <w:t xml:space="preserve">for </w:t>
      </w:r>
      <w:r w:rsidRPr="00641FBB">
        <w:t>the user on how to navigate both the international and regional</w:t>
      </w:r>
      <w:r w:rsidR="002E56D8">
        <w:t xml:space="preserve"> </w:t>
      </w:r>
      <w:r w:rsidR="001D0F53">
        <w:t>(European)</w:t>
      </w:r>
      <w:r w:rsidRPr="00641FBB">
        <w:t xml:space="preserve"> systems, providing basic information on these human rights monitoring mechanisms, including contact information.</w:t>
      </w:r>
    </w:p>
    <w:p w14:paraId="1BD785EB" w14:textId="69B47829" w:rsidR="008C0E3B" w:rsidRPr="00641FBB" w:rsidRDefault="00C1223B" w:rsidP="00186BFB">
      <w:pPr>
        <w:pStyle w:val="Heading1"/>
      </w:pPr>
      <w:r w:rsidRPr="00641FBB">
        <w:t xml:space="preserve">4.2 </w:t>
      </w:r>
      <w:r w:rsidR="008044FC" w:rsidRPr="00641FBB">
        <w:t>The International System</w:t>
      </w:r>
    </w:p>
    <w:p w14:paraId="2EF7A53E" w14:textId="6B19B956" w:rsidR="003A13F4" w:rsidRPr="00641FBB" w:rsidRDefault="003A13F4" w:rsidP="003A13F4">
      <w:r w:rsidRPr="00641FBB">
        <w:t xml:space="preserve">As discussed in Chapter 2, there are currently </w:t>
      </w:r>
      <w:r w:rsidR="00514F78" w:rsidRPr="00641FBB">
        <w:t>eight</w:t>
      </w:r>
      <w:r w:rsidRPr="00641FBB">
        <w:t xml:space="preserve"> core international human rights treaties</w:t>
      </w:r>
      <w:r w:rsidR="00514F78" w:rsidRPr="00641FBB">
        <w:t xml:space="preserve"> that contain</w:t>
      </w:r>
      <w:r w:rsidRPr="00641FBB">
        <w:t xml:space="preserve"> guarantees related to the protection of human rights in patient care. While these treaties are only binding on those </w:t>
      </w:r>
      <w:r w:rsidR="002B7A66">
        <w:t>s</w:t>
      </w:r>
      <w:r w:rsidRPr="00641FBB">
        <w:t>tates that have ratified them,</w:t>
      </w:r>
      <w:r w:rsidRPr="00641FBB">
        <w:rPr>
          <w:rStyle w:val="FootnoteReference"/>
        </w:rPr>
        <w:footnoteReference w:id="2"/>
      </w:r>
      <w:r w:rsidRPr="00641FBB">
        <w:t xml:space="preserve"> their standards have strong moral and political force even for non-ratifying countries. Each of these treaties has a committee in charge of monitoring state compliance with the treaty. These are referred to as “treaty-monitoring bodies” or “treaty bodies.” </w:t>
      </w:r>
    </w:p>
    <w:p w14:paraId="18782BAC" w14:textId="30547163" w:rsidR="00EA3D21" w:rsidRPr="00641FBB" w:rsidRDefault="00EA3D21" w:rsidP="00F343AE">
      <w:pPr>
        <w:pStyle w:val="Heading2"/>
      </w:pPr>
      <w:r w:rsidRPr="00641FBB">
        <w:t>U.N. Treaty-Monitoring Bodies</w:t>
      </w:r>
    </w:p>
    <w:p w14:paraId="2FB2F1E9" w14:textId="3212F55E" w:rsidR="004E1531" w:rsidRPr="00641FBB" w:rsidRDefault="004E1531" w:rsidP="004E1531">
      <w:r w:rsidRPr="00641FBB">
        <w:lastRenderedPageBreak/>
        <w:t xml:space="preserve">In general, UN treaty-monitoring bodies monitor </w:t>
      </w:r>
      <w:r w:rsidR="002B7A66">
        <w:t>s</w:t>
      </w:r>
      <w:r w:rsidRPr="00641FBB">
        <w:t xml:space="preserve">tate compliance with their respective treaty using a combination of three types of mechanisms: 1) interpretative documents on the content of the relevant treaty; 2) evaluating </w:t>
      </w:r>
      <w:r w:rsidR="002B7A66">
        <w:t>s</w:t>
      </w:r>
      <w:r w:rsidRPr="00641FBB">
        <w:t xml:space="preserve">tate compliance with the relevant treaty based on reports that member </w:t>
      </w:r>
      <w:r w:rsidR="002B7A66">
        <w:t>s</w:t>
      </w:r>
      <w:r w:rsidRPr="00641FBB">
        <w:t xml:space="preserve">tates are required to submit on a regular basis; and 3) receiving and considering individual communications alleging </w:t>
      </w:r>
      <w:r w:rsidR="002B7A66">
        <w:t>s</w:t>
      </w:r>
      <w:r w:rsidR="00D91A0B" w:rsidRPr="00641FBB">
        <w:t xml:space="preserve">tate </w:t>
      </w:r>
      <w:r w:rsidRPr="00641FBB">
        <w:t xml:space="preserve">violations of </w:t>
      </w:r>
      <w:r w:rsidR="00D91A0B" w:rsidRPr="00641FBB">
        <w:t xml:space="preserve">one or more of the </w:t>
      </w:r>
      <w:r w:rsidRPr="00641FBB">
        <w:t>human rights protected by the relevant treaty</w:t>
      </w:r>
      <w:r w:rsidR="00D91A0B" w:rsidRPr="00641FBB">
        <w:t>,</w:t>
      </w:r>
      <w:r w:rsidRPr="00641FBB">
        <w:t xml:space="preserve"> and issuing recommendations to the </w:t>
      </w:r>
      <w:r w:rsidR="00D91A0B" w:rsidRPr="00641FBB">
        <w:t xml:space="preserve">respondent </w:t>
      </w:r>
      <w:r w:rsidR="002B7A66">
        <w:t>s</w:t>
      </w:r>
      <w:r w:rsidRPr="00641FBB">
        <w:t>tate.  Each of the bodies’ specific functions, contact information, and ways through which civil society can participate are detailed below.</w:t>
      </w:r>
    </w:p>
    <w:p w14:paraId="44FB0144" w14:textId="4BA5E71F" w:rsidR="004E1531" w:rsidRPr="00641FBB" w:rsidRDefault="004E1531" w:rsidP="00F343AE">
      <w:pPr>
        <w:pStyle w:val="Heading3"/>
      </w:pPr>
      <w:r w:rsidRPr="00641FBB">
        <w:t xml:space="preserve">A Note on the Use of </w:t>
      </w:r>
      <w:r w:rsidR="00F87240" w:rsidRPr="00641FBB">
        <w:t>ALTERNATIVE</w:t>
      </w:r>
      <w:r w:rsidRPr="00641FBB">
        <w:t xml:space="preserve"> Reports in u.n. treaty-monitoring bodies</w:t>
      </w:r>
    </w:p>
    <w:p w14:paraId="6C6C703B" w14:textId="47A95ADC" w:rsidR="004E1531" w:rsidRPr="00641FBB" w:rsidRDefault="004E1531" w:rsidP="004E1531">
      <w:r w:rsidRPr="00641FBB">
        <w:t xml:space="preserve">Treaty-monitoring bodies offer different avenues for civil society participation, </w:t>
      </w:r>
      <w:r w:rsidR="00D91A0B" w:rsidRPr="00641FBB">
        <w:t xml:space="preserve">a key option being the </w:t>
      </w:r>
      <w:r w:rsidRPr="00641FBB">
        <w:t>submi</w:t>
      </w:r>
      <w:r w:rsidR="00D91A0B" w:rsidRPr="00641FBB">
        <w:t>ssion of</w:t>
      </w:r>
      <w:r w:rsidRPr="00641FBB">
        <w:t xml:space="preserve"> </w:t>
      </w:r>
      <w:r w:rsidR="00F87240" w:rsidRPr="00641FBB">
        <w:t xml:space="preserve">alternative reports (also known as </w:t>
      </w:r>
      <w:r w:rsidR="007841E2" w:rsidRPr="00641FBB">
        <w:t xml:space="preserve">“parallel” </w:t>
      </w:r>
      <w:r w:rsidR="00D91A0B" w:rsidRPr="00641FBB">
        <w:t xml:space="preserve">or </w:t>
      </w:r>
      <w:r w:rsidR="007841E2" w:rsidRPr="00641FBB">
        <w:t>“shadow”</w:t>
      </w:r>
      <w:r w:rsidR="00F87240" w:rsidRPr="00641FBB">
        <w:t xml:space="preserve"> reports</w:t>
      </w:r>
      <w:r w:rsidR="0016403E" w:rsidRPr="00641FBB">
        <w:t xml:space="preserve"> or “written information”</w:t>
      </w:r>
      <w:r w:rsidR="00F87240" w:rsidRPr="00641FBB">
        <w:t>)</w:t>
      </w:r>
      <w:r w:rsidRPr="00641FBB">
        <w:t xml:space="preserve">. </w:t>
      </w:r>
      <w:r w:rsidR="00F87240" w:rsidRPr="00641FBB">
        <w:t>These</w:t>
      </w:r>
      <w:r w:rsidRPr="00641FBB">
        <w:t xml:space="preserve"> reports can serve an important role within the periodic reporting process of UN treaty-monitoring bodies. They allow civil society to provide supporting or alternative information on the human rights situation of the country being reviewed. For this reason, this section of the chapter highlights shadow reports as one of the tools available to civil society used to influence treaty-monitoring bodies’ work. </w:t>
      </w:r>
    </w:p>
    <w:p w14:paraId="7B74A56B" w14:textId="40A71B4D" w:rsidR="004E1531" w:rsidRPr="00641FBB" w:rsidRDefault="00D91A0B" w:rsidP="004E1531">
      <w:r w:rsidRPr="00641FBB">
        <w:t>Past s</w:t>
      </w:r>
      <w:r w:rsidR="004E1531" w:rsidRPr="00641FBB">
        <w:t>hadow reports</w:t>
      </w:r>
      <w:r w:rsidRPr="00641FBB">
        <w:t>, as well as information for civil society regarding the submission of such reports,</w:t>
      </w:r>
      <w:r w:rsidR="004E1531" w:rsidRPr="00641FBB">
        <w:t xml:space="preserve"> are accessible on the UN Office of the High Commissioner for Human Rights’ website</w:t>
      </w:r>
      <w:r w:rsidR="00514F78" w:rsidRPr="00641FBB">
        <w:t>.</w:t>
      </w:r>
    </w:p>
    <w:p w14:paraId="029AA45F" w14:textId="3C262888" w:rsidR="008044FC" w:rsidRPr="00641FBB" w:rsidRDefault="001D48EC" w:rsidP="00F343AE">
      <w:pPr>
        <w:pStyle w:val="Heading3"/>
      </w:pPr>
      <w:r w:rsidRPr="00641FBB">
        <w:t>Human Rights Committee</w:t>
      </w:r>
    </w:p>
    <w:p w14:paraId="083EB835" w14:textId="311C633F" w:rsidR="0032373D" w:rsidRPr="00641FBB" w:rsidRDefault="0032373D" w:rsidP="00F343AE">
      <w:pPr>
        <w:pStyle w:val="Heading4"/>
      </w:pPr>
      <w:r w:rsidRPr="00641FBB">
        <w:t>Mandate</w:t>
      </w:r>
    </w:p>
    <w:p w14:paraId="24885B0B" w14:textId="279487F2" w:rsidR="00B677E4" w:rsidRPr="00641FBB" w:rsidRDefault="00B77E32" w:rsidP="00B77E32">
      <w:r w:rsidRPr="00641FBB">
        <w:t xml:space="preserve">The </w:t>
      </w:r>
      <w:r w:rsidR="00886CC2" w:rsidRPr="00641FBB">
        <w:t>Human Rights Committee (CCPR)</w:t>
      </w:r>
      <w:r w:rsidR="00A308EA" w:rsidRPr="00641FBB">
        <w:t xml:space="preserve"> </w:t>
      </w:r>
      <w:r w:rsidRPr="00641FBB">
        <w:t>oversees compliance with the International Covenant on Civil and Political Rights (ICCPR)</w:t>
      </w:r>
      <w:r w:rsidR="00886CC2" w:rsidRPr="00641FBB">
        <w:t xml:space="preserve"> by those</w:t>
      </w:r>
      <w:r w:rsidR="002B7A66">
        <w:t xml:space="preserve"> s</w:t>
      </w:r>
      <w:r w:rsidR="00A3289B" w:rsidRPr="00641FBB">
        <w:t>tates</w:t>
      </w:r>
      <w:r w:rsidR="00886CC2" w:rsidRPr="00641FBB">
        <w:t xml:space="preserve"> that have ratified the treaty</w:t>
      </w:r>
      <w:r w:rsidRPr="00641FBB">
        <w:t xml:space="preserve">. </w:t>
      </w:r>
      <w:r w:rsidR="00B677E4" w:rsidRPr="00641FBB">
        <w:t>The CCPR issues interpretative documents on the I</w:t>
      </w:r>
      <w:r w:rsidR="00514F78" w:rsidRPr="00641FBB">
        <w:t>CCPR called “general comments.”</w:t>
      </w:r>
    </w:p>
    <w:p w14:paraId="133F54C8" w14:textId="34D3620E" w:rsidR="00A80133" w:rsidRPr="00641FBB" w:rsidRDefault="00B77E32" w:rsidP="00B77E32">
      <w:r w:rsidRPr="00641FBB">
        <w:t xml:space="preserve">The </w:t>
      </w:r>
      <w:r w:rsidR="00A308EA" w:rsidRPr="00641FBB">
        <w:t xml:space="preserve">CCPR </w:t>
      </w:r>
      <w:r w:rsidRPr="00641FBB">
        <w:t>monitor</w:t>
      </w:r>
      <w:r w:rsidR="003D30A3" w:rsidRPr="00641FBB">
        <w:t>s</w:t>
      </w:r>
      <w:r w:rsidRPr="00641FBB">
        <w:t xml:space="preserve"> </w:t>
      </w:r>
      <w:r w:rsidR="006D4789" w:rsidRPr="00641FBB">
        <w:t>p</w:t>
      </w:r>
      <w:r w:rsidRPr="00641FBB">
        <w:t>rogress in implement</w:t>
      </w:r>
      <w:r w:rsidR="008F2713" w:rsidRPr="00641FBB">
        <w:t>ing</w:t>
      </w:r>
      <w:r w:rsidRPr="00641FBB">
        <w:t xml:space="preserve"> the ICCPR based on </w:t>
      </w:r>
      <w:r w:rsidR="006A11DA" w:rsidRPr="00641FBB">
        <w:t xml:space="preserve">review of </w:t>
      </w:r>
      <w:r w:rsidRPr="00641FBB">
        <w:t>periodic reports submitted by</w:t>
      </w:r>
      <w:r w:rsidR="004B0623" w:rsidRPr="00641FBB">
        <w:t xml:space="preserve"> the</w:t>
      </w:r>
      <w:r w:rsidRPr="00641FBB">
        <w:t xml:space="preserve"> </w:t>
      </w:r>
      <w:r w:rsidR="00A3289B" w:rsidRPr="00641FBB">
        <w:t>States parties</w:t>
      </w:r>
      <w:r w:rsidR="003D30A3" w:rsidRPr="00641FBB">
        <w:t xml:space="preserve">, considers inter-state complaints of human rights violations, </w:t>
      </w:r>
      <w:r w:rsidRPr="00641FBB">
        <w:t>and examine</w:t>
      </w:r>
      <w:r w:rsidR="003D30A3" w:rsidRPr="00641FBB">
        <w:t>s</w:t>
      </w:r>
      <w:r w:rsidR="00A80133" w:rsidRPr="00641FBB">
        <w:t xml:space="preserve"> “individual communications,” which </w:t>
      </w:r>
      <w:r w:rsidR="006A11DA" w:rsidRPr="00641FBB">
        <w:t>are complaints submitted by</w:t>
      </w:r>
      <w:r w:rsidRPr="00641FBB">
        <w:t xml:space="preserve"> individual</w:t>
      </w:r>
      <w:r w:rsidR="00FE3832" w:rsidRPr="00641FBB">
        <w:t>s</w:t>
      </w:r>
      <w:r w:rsidRPr="00641FBB">
        <w:t xml:space="preserve"> </w:t>
      </w:r>
      <w:r w:rsidR="00FE3832" w:rsidRPr="00641FBB">
        <w:t xml:space="preserve">or groups of individuals </w:t>
      </w:r>
      <w:r w:rsidR="006A11DA" w:rsidRPr="00641FBB">
        <w:t>alleging</w:t>
      </w:r>
      <w:r w:rsidR="00FE3832" w:rsidRPr="00641FBB">
        <w:t xml:space="preserve"> violations of the rights set forth in the ICCPR by</w:t>
      </w:r>
      <w:r w:rsidR="006A11DA" w:rsidRPr="00641FBB">
        <w:t xml:space="preserve"> </w:t>
      </w:r>
      <w:r w:rsidR="00A3289B" w:rsidRPr="00641FBB">
        <w:t>States parties</w:t>
      </w:r>
      <w:r w:rsidR="00FE3832" w:rsidRPr="00641FBB">
        <w:t xml:space="preserve"> </w:t>
      </w:r>
      <w:r w:rsidR="00586F98" w:rsidRPr="00641FBB">
        <w:t>that have ratified</w:t>
      </w:r>
      <w:r w:rsidRPr="00641FBB">
        <w:t xml:space="preserve"> the First Optional Protocol to the ICCPR.</w:t>
      </w:r>
      <w:r w:rsidR="00B677E4" w:rsidRPr="00641FBB">
        <w:t xml:space="preserve"> </w:t>
      </w:r>
    </w:p>
    <w:p w14:paraId="45789772" w14:textId="501B436A" w:rsidR="00B677E4" w:rsidRPr="00641FBB" w:rsidRDefault="00B869FC" w:rsidP="00B77E32">
      <w:r w:rsidRPr="00641FBB">
        <w:t>As part of the periodic reporting procedure</w:t>
      </w:r>
      <w:r w:rsidR="00586F98" w:rsidRPr="00641FBB">
        <w:t xml:space="preserve">, </w:t>
      </w:r>
      <w:r w:rsidR="00A3289B" w:rsidRPr="00641FBB">
        <w:t>States parties</w:t>
      </w:r>
      <w:r w:rsidRPr="00641FBB">
        <w:t xml:space="preserve"> must report to the CCPR after one year of ratifying the ICCPR and upon request thereafter—approximately every four years. Once a </w:t>
      </w:r>
      <w:r w:rsidR="00A3289B" w:rsidRPr="00641FBB">
        <w:t>state</w:t>
      </w:r>
      <w:r w:rsidRPr="00641FBB">
        <w:t xml:space="preserve"> submits its report, the </w:t>
      </w:r>
      <w:r w:rsidR="00434DC7" w:rsidRPr="00641FBB">
        <w:t xml:space="preserve">CCPR </w:t>
      </w:r>
      <w:r w:rsidR="00A26073" w:rsidRPr="00641FBB">
        <w:t xml:space="preserve">examines the report and </w:t>
      </w:r>
      <w:r w:rsidR="00434DC7" w:rsidRPr="00641FBB">
        <w:t>issues</w:t>
      </w:r>
      <w:r w:rsidR="00A26073" w:rsidRPr="00641FBB">
        <w:t xml:space="preserve"> “concluding observations,”</w:t>
      </w:r>
      <w:r w:rsidR="00F5333D" w:rsidRPr="00641FBB">
        <w:t xml:space="preserve"> providing its concerns and</w:t>
      </w:r>
      <w:r w:rsidR="00A26073" w:rsidRPr="00641FBB">
        <w:t xml:space="preserve"> recommendations to the </w:t>
      </w:r>
      <w:r w:rsidR="00A3289B" w:rsidRPr="00641FBB">
        <w:t>state</w:t>
      </w:r>
      <w:r w:rsidR="00A26073" w:rsidRPr="00641FBB">
        <w:t xml:space="preserve"> on </w:t>
      </w:r>
      <w:r w:rsidR="00FA05D5" w:rsidRPr="00641FBB">
        <w:t>how to better implement</w:t>
      </w:r>
      <w:r w:rsidR="00A26073" w:rsidRPr="00641FBB">
        <w:t xml:space="preserve"> the treaty.</w:t>
      </w:r>
      <w:r w:rsidRPr="00641FBB">
        <w:t xml:space="preserve"> </w:t>
      </w:r>
    </w:p>
    <w:p w14:paraId="69467DE3" w14:textId="5FD53702" w:rsidR="00532D5D" w:rsidRPr="00641FBB" w:rsidRDefault="00B77E32" w:rsidP="008044FC">
      <w:r w:rsidRPr="00641FBB">
        <w:t xml:space="preserve">The </w:t>
      </w:r>
      <w:r w:rsidR="00A308EA" w:rsidRPr="00641FBB">
        <w:t>CCPR</w:t>
      </w:r>
      <w:r w:rsidRPr="00641FBB">
        <w:t xml:space="preserve"> meets three times per year.</w:t>
      </w:r>
    </w:p>
    <w:p w14:paraId="0F369FB8" w14:textId="0EB1FA5C" w:rsidR="00404C3D" w:rsidRPr="00641FBB" w:rsidRDefault="00404C3D" w:rsidP="00F343AE">
      <w:pPr>
        <w:pStyle w:val="Heading4"/>
      </w:pPr>
      <w:r w:rsidRPr="00641FBB">
        <w:t>Civil Society Participation</w:t>
      </w:r>
    </w:p>
    <w:p w14:paraId="3D9A0234" w14:textId="1B20276F" w:rsidR="00404C3D" w:rsidRPr="00641FBB" w:rsidRDefault="002F707B" w:rsidP="0027782E">
      <w:r w:rsidRPr="00641FBB">
        <w:t xml:space="preserve">As part of the periodic reporting </w:t>
      </w:r>
      <w:r w:rsidR="00A308EA" w:rsidRPr="00641FBB">
        <w:t>procedure</w:t>
      </w:r>
      <w:r w:rsidRPr="00641FBB">
        <w:t xml:space="preserve">, </w:t>
      </w:r>
      <w:r w:rsidR="00404C3D" w:rsidRPr="00641FBB">
        <w:t xml:space="preserve">NGOs can submit </w:t>
      </w:r>
      <w:r w:rsidR="0027782E" w:rsidRPr="00641FBB">
        <w:t xml:space="preserve">alternative reports </w:t>
      </w:r>
      <w:r w:rsidR="00404C3D" w:rsidRPr="00641FBB">
        <w:t xml:space="preserve">to the </w:t>
      </w:r>
      <w:r w:rsidR="00A308EA" w:rsidRPr="00641FBB">
        <w:t xml:space="preserve">CCPR </w:t>
      </w:r>
      <w:r w:rsidR="00404C3D" w:rsidRPr="00641FBB">
        <w:t xml:space="preserve">on any aspect of a </w:t>
      </w:r>
      <w:r w:rsidR="00A3289B" w:rsidRPr="00641FBB">
        <w:t>State party’s</w:t>
      </w:r>
      <w:r w:rsidR="00404C3D" w:rsidRPr="00641FBB">
        <w:t xml:space="preserve"> compliance with the ICCPR.</w:t>
      </w:r>
      <w:r w:rsidR="004C4CBA" w:rsidRPr="00641FBB">
        <w:t xml:space="preserve"> </w:t>
      </w:r>
      <w:r w:rsidR="0027782E" w:rsidRPr="00641FBB">
        <w:t>These</w:t>
      </w:r>
      <w:r w:rsidR="00404C3D" w:rsidRPr="00641FBB">
        <w:t xml:space="preserve"> reports should be </w:t>
      </w:r>
      <w:r w:rsidR="00880858" w:rsidRPr="00641FBB">
        <w:t>submitted</w:t>
      </w:r>
      <w:r w:rsidR="006A11DA" w:rsidRPr="00641FBB">
        <w:t>, by the relevant deadline,</w:t>
      </w:r>
      <w:r w:rsidR="00880858" w:rsidRPr="00641FBB">
        <w:t xml:space="preserve"> through the </w:t>
      </w:r>
      <w:r w:rsidR="00A308EA" w:rsidRPr="00641FBB">
        <w:t xml:space="preserve">CCPR </w:t>
      </w:r>
      <w:r w:rsidR="00880858" w:rsidRPr="00641FBB">
        <w:t xml:space="preserve">Secretariat based at the Office of the High Commissioner for Human Rights in Geneva, which also maintains a calendar of when </w:t>
      </w:r>
      <w:r w:rsidR="00A3289B" w:rsidRPr="00641FBB">
        <w:t>States parties</w:t>
      </w:r>
      <w:r w:rsidR="00880858" w:rsidRPr="00641FBB">
        <w:t xml:space="preserve"> come before the </w:t>
      </w:r>
      <w:r w:rsidR="00A308EA" w:rsidRPr="00641FBB">
        <w:t>CCPR</w:t>
      </w:r>
      <w:r w:rsidR="00880858" w:rsidRPr="00641FBB">
        <w:t>.</w:t>
      </w:r>
      <w:r w:rsidR="006A11DA" w:rsidRPr="00641FBB">
        <w:t xml:space="preserve"> See “Participation in the work of the Committee” on the CCPR’s website.</w:t>
      </w:r>
      <w:r w:rsidR="00880858" w:rsidRPr="00641FBB">
        <w:t xml:space="preserve"> </w:t>
      </w:r>
    </w:p>
    <w:p w14:paraId="6A30FB77" w14:textId="37E944B2" w:rsidR="0027782E" w:rsidRPr="00641FBB" w:rsidRDefault="0027782E" w:rsidP="0027782E">
      <w:r w:rsidRPr="00641FBB">
        <w:t xml:space="preserve">Organizations may attend the CCPR sessions as observers, but are not permitted to speak during the review of </w:t>
      </w:r>
      <w:r w:rsidR="002B7A66">
        <w:t>s</w:t>
      </w:r>
      <w:r w:rsidRPr="00641FBB">
        <w:t>tates. To do so, they must complete and file an “accreditation request form” </w:t>
      </w:r>
      <w:r w:rsidR="00177435" w:rsidRPr="00641FBB">
        <w:t>in advance</w:t>
      </w:r>
      <w:r w:rsidRPr="00641FBB">
        <w:t>. Those that have submitted reports to the CCPR may make a brief oral presentation on the first day of the session. Organizations may also organize informal lunchtime briefings with the Committee.</w:t>
      </w:r>
    </w:p>
    <w:p w14:paraId="2EBBB6F1" w14:textId="5F6E4D94" w:rsidR="00880858" w:rsidRPr="00641FBB" w:rsidRDefault="00A80133" w:rsidP="00880858">
      <w:r w:rsidRPr="00641FBB">
        <w:t>Additionally, u</w:t>
      </w:r>
      <w:r w:rsidR="005B66D6" w:rsidRPr="00641FBB">
        <w:t>nder</w:t>
      </w:r>
      <w:r w:rsidR="00586F98" w:rsidRPr="00641FBB">
        <w:t xml:space="preserve"> the </w:t>
      </w:r>
      <w:r w:rsidR="00A308EA" w:rsidRPr="00641FBB">
        <w:t>CCPR’s</w:t>
      </w:r>
      <w:r w:rsidR="00586F98" w:rsidRPr="00641FBB">
        <w:t xml:space="preserve"> individual complaints mechanism, </w:t>
      </w:r>
      <w:r w:rsidR="00EF57CF" w:rsidRPr="00641FBB">
        <w:t>NGOs are allowed to submit reports on behalf of individuals with the individual’s consent.</w:t>
      </w:r>
      <w:r w:rsidR="006A11DA" w:rsidRPr="00641FBB">
        <w:t xml:space="preserve"> See ‘Complaints procedure’ on the CCPR’s website. </w:t>
      </w:r>
    </w:p>
    <w:p w14:paraId="7265FC96" w14:textId="77777777" w:rsidR="00EF57CF" w:rsidRPr="00641FBB" w:rsidRDefault="00EF57CF" w:rsidP="00F343AE">
      <w:pPr>
        <w:pStyle w:val="Heading4"/>
      </w:pPr>
      <w:r w:rsidRPr="00641FBB">
        <w:t>Contact Information</w:t>
      </w:r>
    </w:p>
    <w:p w14:paraId="4D97F9CE" w14:textId="77777777" w:rsidR="00EF57CF" w:rsidRPr="00641FBB" w:rsidRDefault="00EF57CF" w:rsidP="00F343AE">
      <w:pPr>
        <w:pStyle w:val="Heading5"/>
      </w:pPr>
      <w:r w:rsidRPr="00641FBB">
        <w:t>Secretariat</w:t>
      </w:r>
    </w:p>
    <w:p w14:paraId="5A5742A7" w14:textId="77777777" w:rsidR="00EF57CF" w:rsidRPr="00641FBB" w:rsidRDefault="00EF57CF" w:rsidP="00EF57CF">
      <w:pPr>
        <w:pStyle w:val="NoSpacing"/>
      </w:pPr>
      <w:r w:rsidRPr="00641FBB">
        <w:t>Human Rights Committee (CCPR)</w:t>
      </w:r>
    </w:p>
    <w:p w14:paraId="60A4F34E" w14:textId="77777777" w:rsidR="00EF57CF" w:rsidRPr="00641FBB" w:rsidRDefault="00EF57CF" w:rsidP="00EF57CF">
      <w:pPr>
        <w:pStyle w:val="NoSpacing"/>
      </w:pPr>
      <w:r w:rsidRPr="00641FBB">
        <w:t>Human Rights Treaties Division (HRTD)</w:t>
      </w:r>
    </w:p>
    <w:p w14:paraId="3316F418" w14:textId="77777777" w:rsidR="00EF57CF" w:rsidRPr="00641FBB" w:rsidRDefault="00EF57CF" w:rsidP="00EF57CF">
      <w:pPr>
        <w:pStyle w:val="NoSpacing"/>
      </w:pPr>
      <w:r w:rsidRPr="00641FBB">
        <w:t>Office of the United Nations High Commissioner for Human Rights (OHCHR)</w:t>
      </w:r>
    </w:p>
    <w:p w14:paraId="129F00C2" w14:textId="77777777" w:rsidR="00EF57CF" w:rsidRPr="00641FBB" w:rsidRDefault="00EF57CF" w:rsidP="00EF57CF">
      <w:pPr>
        <w:pStyle w:val="NoSpacing"/>
      </w:pPr>
      <w:r w:rsidRPr="00641FBB">
        <w:t>Palais Wilson - 52, rue des Pâquis</w:t>
      </w:r>
    </w:p>
    <w:p w14:paraId="2E0B77F8" w14:textId="3F62365D" w:rsidR="00EF57CF" w:rsidRPr="00641FBB" w:rsidRDefault="00887631" w:rsidP="00EF57CF">
      <w:pPr>
        <w:pStyle w:val="NoSpacing"/>
      </w:pPr>
      <w:r w:rsidRPr="00641FBB">
        <w:t>CH-1201 Geneva, Switzerland</w:t>
      </w:r>
    </w:p>
    <w:p w14:paraId="383F0855" w14:textId="77777777" w:rsidR="00886CC2" w:rsidRPr="00641FBB" w:rsidRDefault="00886CC2" w:rsidP="00EF57CF">
      <w:pPr>
        <w:pStyle w:val="NoSpacing"/>
      </w:pPr>
    </w:p>
    <w:p w14:paraId="1DEA1CBA" w14:textId="77777777" w:rsidR="00886CC2" w:rsidRPr="00641FBB" w:rsidRDefault="00886CC2" w:rsidP="00EF57CF">
      <w:pPr>
        <w:pStyle w:val="NoSpacing"/>
      </w:pPr>
      <w:r w:rsidRPr="00641FBB">
        <w:t xml:space="preserve">Mailing Address: </w:t>
      </w:r>
    </w:p>
    <w:p w14:paraId="4EDA31CF" w14:textId="395CCD5C" w:rsidR="00EF57CF" w:rsidRPr="00331FAD" w:rsidRDefault="00EF57CF" w:rsidP="00EF57CF">
      <w:pPr>
        <w:pStyle w:val="NoSpacing"/>
        <w:rPr>
          <w:lang w:val="de-AT"/>
        </w:rPr>
      </w:pPr>
      <w:r w:rsidRPr="00331FAD">
        <w:rPr>
          <w:lang w:val="de-AT"/>
        </w:rPr>
        <w:t>UNOG-OHCHR</w:t>
      </w:r>
    </w:p>
    <w:p w14:paraId="23B5A167" w14:textId="005D6391" w:rsidR="00EF57CF" w:rsidRPr="00331FAD" w:rsidRDefault="00EF57CF" w:rsidP="00EF57CF">
      <w:pPr>
        <w:pStyle w:val="NoSpacing"/>
        <w:rPr>
          <w:lang w:val="de-AT"/>
        </w:rPr>
      </w:pPr>
      <w:r w:rsidRPr="00331FAD">
        <w:rPr>
          <w:lang w:val="de-AT"/>
        </w:rPr>
        <w:t>CH-1211 Geneva 10</w:t>
      </w:r>
      <w:r w:rsidR="00887631" w:rsidRPr="00331FAD">
        <w:rPr>
          <w:lang w:val="de-AT"/>
        </w:rPr>
        <w:t>, Switzerland</w:t>
      </w:r>
    </w:p>
    <w:p w14:paraId="09FD9FAC" w14:textId="77777777" w:rsidR="00EF57CF" w:rsidRPr="00331FAD" w:rsidRDefault="00EF57CF" w:rsidP="00EF57CF">
      <w:pPr>
        <w:pStyle w:val="NoSpacing"/>
        <w:rPr>
          <w:lang w:val="de-AT"/>
        </w:rPr>
      </w:pPr>
    </w:p>
    <w:p w14:paraId="61E34640" w14:textId="1E3EF4D1" w:rsidR="00EF57CF" w:rsidRPr="00331FAD" w:rsidRDefault="00EF57CF" w:rsidP="00EF57CF">
      <w:pPr>
        <w:pStyle w:val="NoSpacing"/>
        <w:rPr>
          <w:lang w:val="de-AT"/>
        </w:rPr>
      </w:pPr>
      <w:r w:rsidRPr="00331FAD">
        <w:rPr>
          <w:lang w:val="de-AT"/>
        </w:rPr>
        <w:t xml:space="preserve">Tel.: +41 </w:t>
      </w:r>
      <w:r w:rsidR="003473E0" w:rsidRPr="00331FAD">
        <w:rPr>
          <w:lang w:val="de-AT"/>
        </w:rPr>
        <w:t xml:space="preserve">(0) </w:t>
      </w:r>
      <w:r w:rsidRPr="00331FAD">
        <w:rPr>
          <w:lang w:val="de-AT"/>
        </w:rPr>
        <w:t>22 917 92 61</w:t>
      </w:r>
    </w:p>
    <w:p w14:paraId="670AEB00" w14:textId="7042B3E4" w:rsidR="00EF57CF" w:rsidRPr="00331FAD" w:rsidRDefault="00EF57CF" w:rsidP="00EF57CF">
      <w:pPr>
        <w:pStyle w:val="NoSpacing"/>
        <w:rPr>
          <w:lang w:val="de-AT"/>
        </w:rPr>
      </w:pPr>
      <w:r w:rsidRPr="00331FAD">
        <w:rPr>
          <w:lang w:val="de-AT"/>
        </w:rPr>
        <w:t xml:space="preserve">Fax: +41 </w:t>
      </w:r>
      <w:r w:rsidR="003473E0" w:rsidRPr="00331FAD">
        <w:rPr>
          <w:lang w:val="de-AT"/>
        </w:rPr>
        <w:t xml:space="preserve">(0) </w:t>
      </w:r>
      <w:r w:rsidRPr="00331FAD">
        <w:rPr>
          <w:lang w:val="de-AT"/>
        </w:rPr>
        <w:t>22 917 90 08</w:t>
      </w:r>
    </w:p>
    <w:p w14:paraId="28E65277" w14:textId="77777777" w:rsidR="00EF57CF" w:rsidRPr="00331FAD" w:rsidRDefault="00EF57CF" w:rsidP="00EF57CF">
      <w:pPr>
        <w:pStyle w:val="NoSpacing"/>
        <w:rPr>
          <w:lang w:val="de-AT"/>
        </w:rPr>
      </w:pPr>
      <w:r w:rsidRPr="00331FAD">
        <w:rPr>
          <w:lang w:val="de-AT"/>
        </w:rPr>
        <w:t>E-mail:</w:t>
      </w:r>
      <w:r w:rsidR="002F707B" w:rsidRPr="00331FAD">
        <w:rPr>
          <w:lang w:val="de-AT"/>
        </w:rPr>
        <w:t xml:space="preserve"> </w:t>
      </w:r>
      <w:hyperlink r:id="rId9" w:history="1">
        <w:r w:rsidR="002F707B" w:rsidRPr="00331FAD">
          <w:rPr>
            <w:rStyle w:val="Hyperlink"/>
            <w:lang w:val="de-AT"/>
          </w:rPr>
          <w:t>ccpr@ohchr.org</w:t>
        </w:r>
      </w:hyperlink>
      <w:r w:rsidR="002F707B" w:rsidRPr="00331FAD">
        <w:rPr>
          <w:lang w:val="de-AT"/>
        </w:rPr>
        <w:t xml:space="preserve"> </w:t>
      </w:r>
    </w:p>
    <w:p w14:paraId="58085F4A" w14:textId="7343A281" w:rsidR="00EF57CF" w:rsidRPr="00641FBB" w:rsidRDefault="00EF57CF" w:rsidP="00EF57CF">
      <w:pPr>
        <w:pStyle w:val="NoSpacing"/>
      </w:pPr>
      <w:r w:rsidRPr="00641FBB">
        <w:t xml:space="preserve">Website: </w:t>
      </w:r>
      <w:hyperlink r:id="rId10" w:history="1">
        <w:r w:rsidR="00514F78" w:rsidRPr="00641FBB">
          <w:rPr>
            <w:rStyle w:val="Hyperlink"/>
          </w:rPr>
          <w:t>http://www.ohchr.org/EN/HRBodies/CCPR/Pages/CCPRIndex.aspx</w:t>
        </w:r>
      </w:hyperlink>
    </w:p>
    <w:p w14:paraId="543C7525" w14:textId="4706A864" w:rsidR="00EF57CF" w:rsidRPr="00641FBB" w:rsidRDefault="00AC6627" w:rsidP="00F343AE">
      <w:pPr>
        <w:pStyle w:val="Heading5"/>
      </w:pPr>
      <w:r w:rsidRPr="00641FBB">
        <w:t>I</w:t>
      </w:r>
      <w:r w:rsidR="00EF57CF" w:rsidRPr="00641FBB">
        <w:t xml:space="preserve">ndividual </w:t>
      </w:r>
      <w:r w:rsidR="00A80133" w:rsidRPr="00641FBB">
        <w:t>Communications</w:t>
      </w:r>
    </w:p>
    <w:p w14:paraId="2E66EF6C" w14:textId="77777777" w:rsidR="00EF57CF" w:rsidRPr="00641FBB" w:rsidRDefault="00EF57CF" w:rsidP="00EF57CF">
      <w:pPr>
        <w:pStyle w:val="NoSpacing"/>
      </w:pPr>
      <w:r w:rsidRPr="00641FBB">
        <w:t>Petitions Team</w:t>
      </w:r>
    </w:p>
    <w:p w14:paraId="3DFBDA0D" w14:textId="77777777" w:rsidR="00EF57CF" w:rsidRPr="00641FBB" w:rsidRDefault="00EF57CF" w:rsidP="00EF57CF">
      <w:pPr>
        <w:pStyle w:val="NoSpacing"/>
      </w:pPr>
      <w:r w:rsidRPr="00641FBB">
        <w:t>Office of the High Commissioner for Human Rights</w:t>
      </w:r>
    </w:p>
    <w:p w14:paraId="01E8FA12" w14:textId="77777777" w:rsidR="00EF57CF" w:rsidRPr="00641FBB" w:rsidRDefault="00EF57CF" w:rsidP="00EF57CF">
      <w:pPr>
        <w:pStyle w:val="NoSpacing"/>
      </w:pPr>
      <w:r w:rsidRPr="00641FBB">
        <w:t>United Nations Office at Geneva</w:t>
      </w:r>
    </w:p>
    <w:p w14:paraId="61CE33BE" w14:textId="7C78089C" w:rsidR="00EF57CF" w:rsidRPr="00641FBB" w:rsidRDefault="00887631" w:rsidP="00EF57CF">
      <w:pPr>
        <w:pStyle w:val="NoSpacing"/>
      </w:pPr>
      <w:r w:rsidRPr="00641FBB">
        <w:t>1211 Geneva 10, Switzerland</w:t>
      </w:r>
    </w:p>
    <w:p w14:paraId="3EA3EA80" w14:textId="77777777" w:rsidR="00EF57CF" w:rsidRPr="00641FBB" w:rsidRDefault="00EF57CF" w:rsidP="00EF57CF">
      <w:pPr>
        <w:pStyle w:val="NoSpacing"/>
      </w:pPr>
    </w:p>
    <w:p w14:paraId="3167FF40" w14:textId="49FC13FC" w:rsidR="00EF57CF" w:rsidRPr="00641FBB" w:rsidRDefault="00EF57CF" w:rsidP="00EF57CF">
      <w:pPr>
        <w:pStyle w:val="NoSpacing"/>
      </w:pPr>
      <w:r w:rsidRPr="00641FBB">
        <w:t xml:space="preserve">Fax: + 41 </w:t>
      </w:r>
      <w:r w:rsidR="003473E0" w:rsidRPr="00641FBB">
        <w:t xml:space="preserve">(0) </w:t>
      </w:r>
      <w:r w:rsidRPr="00641FBB">
        <w:t xml:space="preserve">22 917 9022 (particularly for urgent matters) </w:t>
      </w:r>
    </w:p>
    <w:p w14:paraId="7DB8106A" w14:textId="068804F3" w:rsidR="00EF57CF" w:rsidRPr="00641FBB" w:rsidRDefault="00EF57CF" w:rsidP="00EF57CF">
      <w:pPr>
        <w:pStyle w:val="NoSpacing"/>
      </w:pPr>
      <w:r w:rsidRPr="00641FBB">
        <w:t xml:space="preserve">E-mail: </w:t>
      </w:r>
      <w:hyperlink r:id="rId11" w:history="1">
        <w:r w:rsidR="00507554" w:rsidRPr="00641FBB">
          <w:rPr>
            <w:rStyle w:val="Hyperlink"/>
          </w:rPr>
          <w:t>petitions@ohchr.org</w:t>
        </w:r>
      </w:hyperlink>
      <w:r w:rsidR="00507554" w:rsidRPr="00641FBB">
        <w:t xml:space="preserve"> </w:t>
      </w:r>
    </w:p>
    <w:p w14:paraId="195AAE5E" w14:textId="174BD2C0" w:rsidR="008044FC" w:rsidRPr="00641FBB" w:rsidRDefault="001D48EC" w:rsidP="00F343AE">
      <w:pPr>
        <w:pStyle w:val="Heading3"/>
      </w:pPr>
      <w:r w:rsidRPr="00641FBB">
        <w:t>Committee on Economic, Social</w:t>
      </w:r>
      <w:r w:rsidR="008044FC" w:rsidRPr="00641FBB">
        <w:t xml:space="preserve"> and Cultural </w:t>
      </w:r>
      <w:r w:rsidRPr="00641FBB">
        <w:t>Rights</w:t>
      </w:r>
    </w:p>
    <w:p w14:paraId="46E0095D" w14:textId="77777777" w:rsidR="008044FC" w:rsidRPr="00641FBB" w:rsidRDefault="008044FC" w:rsidP="00F343AE">
      <w:pPr>
        <w:pStyle w:val="Heading4"/>
      </w:pPr>
      <w:r w:rsidRPr="00641FBB">
        <w:t>Mandate</w:t>
      </w:r>
    </w:p>
    <w:p w14:paraId="4906ECD8" w14:textId="73B43089" w:rsidR="00A80133" w:rsidRPr="00641FBB" w:rsidRDefault="008044FC" w:rsidP="008044FC">
      <w:r w:rsidRPr="00641FBB" w:rsidDel="00532D5D">
        <w:t>The</w:t>
      </w:r>
      <w:r w:rsidR="00563DC3" w:rsidRPr="00641FBB">
        <w:t xml:space="preserve"> Committee on Economic, Social and Cultural Rights (</w:t>
      </w:r>
      <w:r w:rsidRPr="00641FBB" w:rsidDel="00532D5D">
        <w:t>CESCR</w:t>
      </w:r>
      <w:r w:rsidR="00563DC3" w:rsidRPr="00641FBB">
        <w:t>)</w:t>
      </w:r>
      <w:r w:rsidRPr="00641FBB" w:rsidDel="00532D5D">
        <w:t xml:space="preserve"> oversees </w:t>
      </w:r>
      <w:r w:rsidR="00A3289B" w:rsidRPr="00641FBB">
        <w:t>State party</w:t>
      </w:r>
      <w:r w:rsidRPr="00641FBB" w:rsidDel="00532D5D">
        <w:t xml:space="preserve"> compliance with the International Covenan</w:t>
      </w:r>
      <w:r w:rsidR="005B66D6" w:rsidRPr="00641FBB">
        <w:t>t on Economic, Social</w:t>
      </w:r>
      <w:r w:rsidRPr="00641FBB" w:rsidDel="00532D5D">
        <w:t xml:space="preserve"> and Cultural Rights (ICESCR). </w:t>
      </w:r>
      <w:r w:rsidR="00A80133" w:rsidRPr="00641FBB">
        <w:t>The CESCR issues interpretative documents on the IC</w:t>
      </w:r>
      <w:r w:rsidR="00514F78" w:rsidRPr="00641FBB">
        <w:t>ESCR called “general comments.”</w:t>
      </w:r>
    </w:p>
    <w:p w14:paraId="3DDD5292" w14:textId="2DC8EEE9" w:rsidR="00586F98" w:rsidRPr="00641FBB" w:rsidRDefault="008044FC" w:rsidP="008044FC">
      <w:r w:rsidRPr="00641FBB">
        <w:t>The CESCR</w:t>
      </w:r>
      <w:r w:rsidR="00586F98" w:rsidRPr="00641FBB">
        <w:t xml:space="preserve"> </w:t>
      </w:r>
      <w:r w:rsidR="000969C0" w:rsidRPr="00641FBB">
        <w:t>monitor</w:t>
      </w:r>
      <w:r w:rsidR="003D30A3" w:rsidRPr="00641FBB">
        <w:t>s</w:t>
      </w:r>
      <w:r w:rsidR="006D4789" w:rsidRPr="00641FBB">
        <w:t xml:space="preserve"> </w:t>
      </w:r>
      <w:r w:rsidR="00532D5D" w:rsidRPr="00641FBB">
        <w:t>progress in the implementation of</w:t>
      </w:r>
      <w:r w:rsidR="000969C0" w:rsidRPr="00641FBB">
        <w:t xml:space="preserve"> the ICESCR </w:t>
      </w:r>
      <w:r w:rsidR="00586F98" w:rsidRPr="00641FBB">
        <w:t>based on</w:t>
      </w:r>
      <w:r w:rsidR="000969C0" w:rsidRPr="00641FBB">
        <w:t xml:space="preserve"> periodic reports submitted by </w:t>
      </w:r>
      <w:r w:rsidR="002B7A66">
        <w:t>s</w:t>
      </w:r>
      <w:r w:rsidR="00A3289B" w:rsidRPr="00641FBB">
        <w:t>tates</w:t>
      </w:r>
      <w:r w:rsidR="00F80F6D" w:rsidRPr="00641FBB">
        <w:t xml:space="preserve"> that have ratified the treaty</w:t>
      </w:r>
      <w:r w:rsidR="003D30A3" w:rsidRPr="00641FBB">
        <w:t>, considers inter-state complaints of human rights violations,</w:t>
      </w:r>
      <w:r w:rsidR="00586F98" w:rsidRPr="00641FBB">
        <w:t xml:space="preserve"> and </w:t>
      </w:r>
      <w:r w:rsidR="00A80133" w:rsidRPr="00641FBB">
        <w:t xml:space="preserve">examines “individual communications,” which are </w:t>
      </w:r>
      <w:r w:rsidR="006A11DA" w:rsidRPr="00641FBB">
        <w:t xml:space="preserve">complaints submitted by individuals or groups of individuals alleging violations of the rights set forth in the ICESCR by </w:t>
      </w:r>
      <w:r w:rsidR="00A3289B" w:rsidRPr="00641FBB">
        <w:t>States parties</w:t>
      </w:r>
      <w:r w:rsidR="006A11DA" w:rsidRPr="00641FBB">
        <w:t xml:space="preserve"> </w:t>
      </w:r>
      <w:r w:rsidR="00A80133" w:rsidRPr="00641FBB">
        <w:t>that have ratified</w:t>
      </w:r>
      <w:r w:rsidR="00586F98" w:rsidRPr="00641FBB">
        <w:t xml:space="preserve"> the Optional Protocol to the ICESCR</w:t>
      </w:r>
      <w:r w:rsidR="000969C0" w:rsidRPr="00641FBB">
        <w:t xml:space="preserve">. </w:t>
      </w:r>
    </w:p>
    <w:p w14:paraId="6A7127B0" w14:textId="570EE828" w:rsidR="00373CDD" w:rsidRPr="00641FBB" w:rsidRDefault="007547C6" w:rsidP="008044FC">
      <w:r w:rsidRPr="00641FBB">
        <w:t>As part of</w:t>
      </w:r>
      <w:r w:rsidR="00586F98" w:rsidRPr="00641FBB">
        <w:t xml:space="preserve"> the periodic reporting </w:t>
      </w:r>
      <w:r w:rsidR="00A308EA" w:rsidRPr="00641FBB">
        <w:t>procedure</w:t>
      </w:r>
      <w:r w:rsidR="00586F98" w:rsidRPr="00641FBB">
        <w:t xml:space="preserve">, </w:t>
      </w:r>
      <w:r w:rsidR="00A3289B" w:rsidRPr="00641FBB">
        <w:t>States parties</w:t>
      </w:r>
      <w:r w:rsidR="00563DC3" w:rsidRPr="00641FBB">
        <w:t xml:space="preserve"> must report within two years of ratifying the ICESCR and every five years thereafter. Once a </w:t>
      </w:r>
      <w:r w:rsidR="00A3289B" w:rsidRPr="00641FBB">
        <w:t>State party</w:t>
      </w:r>
      <w:r w:rsidR="00563DC3" w:rsidRPr="00641FBB">
        <w:t xml:space="preserve"> submits its report, </w:t>
      </w:r>
      <w:r w:rsidR="00586F98" w:rsidRPr="00641FBB">
        <w:t>the</w:t>
      </w:r>
      <w:r w:rsidR="00373CDD" w:rsidRPr="00641FBB">
        <w:t xml:space="preserve"> </w:t>
      </w:r>
      <w:r w:rsidR="00586F98" w:rsidRPr="00641FBB">
        <w:t>CESCR</w:t>
      </w:r>
      <w:r w:rsidR="00373CDD" w:rsidRPr="00641FBB">
        <w:t xml:space="preserve"> examines </w:t>
      </w:r>
      <w:r w:rsidR="00563DC3" w:rsidRPr="00641FBB">
        <w:t>the</w:t>
      </w:r>
      <w:r w:rsidR="00373CDD" w:rsidRPr="00641FBB">
        <w:t xml:space="preserve"> report and issues</w:t>
      </w:r>
      <w:r w:rsidRPr="00641FBB">
        <w:t xml:space="preserve"> “concluding observations</w:t>
      </w:r>
      <w:r w:rsidR="00FA05D5" w:rsidRPr="00641FBB">
        <w:t>,” providing</w:t>
      </w:r>
      <w:r w:rsidR="00563DC3" w:rsidRPr="00641FBB">
        <w:t xml:space="preserve"> positive observations, concerns</w:t>
      </w:r>
      <w:r w:rsidR="005B66D6" w:rsidRPr="00641FBB">
        <w:t>,</w:t>
      </w:r>
      <w:r w:rsidR="00563DC3" w:rsidRPr="00641FBB">
        <w:t xml:space="preserve"> and</w:t>
      </w:r>
      <w:r w:rsidRPr="00641FBB">
        <w:t xml:space="preserve"> </w:t>
      </w:r>
      <w:r w:rsidR="00B869FC" w:rsidRPr="00641FBB">
        <w:t xml:space="preserve">recommendations on how the </w:t>
      </w:r>
      <w:r w:rsidR="00A3289B" w:rsidRPr="00641FBB">
        <w:t>State party</w:t>
      </w:r>
      <w:r w:rsidR="00B869FC" w:rsidRPr="00641FBB">
        <w:t xml:space="preserve"> can </w:t>
      </w:r>
      <w:r w:rsidR="00FA05D5" w:rsidRPr="00641FBB">
        <w:t>better implement</w:t>
      </w:r>
      <w:r w:rsidR="00B869FC" w:rsidRPr="00641FBB">
        <w:t xml:space="preserve"> the treaty.</w:t>
      </w:r>
    </w:p>
    <w:p w14:paraId="1BD41DFD" w14:textId="2169CE1D" w:rsidR="00D24273" w:rsidRPr="00641FBB" w:rsidRDefault="00586F98" w:rsidP="008044FC">
      <w:r w:rsidRPr="00641FBB">
        <w:t>The CESCR meets twice per year.</w:t>
      </w:r>
    </w:p>
    <w:p w14:paraId="338F2749" w14:textId="77777777" w:rsidR="00D24273" w:rsidRPr="00641FBB" w:rsidRDefault="00D24273" w:rsidP="00F343AE">
      <w:pPr>
        <w:pStyle w:val="Heading4"/>
      </w:pPr>
      <w:r w:rsidRPr="00641FBB">
        <w:t>Civil Society Participation</w:t>
      </w:r>
    </w:p>
    <w:p w14:paraId="15E2F416" w14:textId="54793A17" w:rsidR="00D24273" w:rsidRPr="00276ED6" w:rsidRDefault="0027782E" w:rsidP="00D24273">
      <w:r w:rsidRPr="00641FBB">
        <w:t>A</w:t>
      </w:r>
      <w:r w:rsidR="00DB4DE6" w:rsidRPr="00641FBB">
        <w:t xml:space="preserve">s part of the periodic reporting </w:t>
      </w:r>
      <w:r w:rsidR="00A308EA" w:rsidRPr="00641FBB">
        <w:t>procedure</w:t>
      </w:r>
      <w:r w:rsidR="00DB4DE6" w:rsidRPr="00641FBB">
        <w:t xml:space="preserve">, </w:t>
      </w:r>
      <w:r w:rsidR="0024096F" w:rsidRPr="00641FBB">
        <w:t>organizations</w:t>
      </w:r>
      <w:r w:rsidR="00D24273" w:rsidRPr="00641FBB">
        <w:t xml:space="preserve"> can submit “</w:t>
      </w:r>
      <w:r w:rsidR="0024096F" w:rsidRPr="00641FBB">
        <w:t>parallel</w:t>
      </w:r>
      <w:r w:rsidR="00D24273" w:rsidRPr="00641FBB">
        <w:t xml:space="preserve"> reports” to the CESCR on any aspect of a </w:t>
      </w:r>
      <w:r w:rsidR="00A3289B" w:rsidRPr="00641FBB">
        <w:t>State party</w:t>
      </w:r>
      <w:r w:rsidR="00A61216" w:rsidRPr="00641FBB">
        <w:t>’s</w:t>
      </w:r>
      <w:r w:rsidR="00D24273" w:rsidRPr="00641FBB">
        <w:t xml:space="preserve"> compliance with the ICESCR.</w:t>
      </w:r>
      <w:r w:rsidR="00E904E3" w:rsidRPr="00641FBB">
        <w:t xml:space="preserve"> </w:t>
      </w:r>
      <w:r w:rsidR="0024096F" w:rsidRPr="00641FBB">
        <w:t>Parallel</w:t>
      </w:r>
      <w:r w:rsidR="00E904E3" w:rsidRPr="00641FBB">
        <w:t xml:space="preserve"> reports should be submitted through the CESCR Secretariat based at the Office of the High Commissioner for Human Rights in Geneva, which also maintains a calendar of when </w:t>
      </w:r>
      <w:r w:rsidR="00A3289B" w:rsidRPr="00641FBB">
        <w:t>States parties</w:t>
      </w:r>
      <w:r w:rsidR="00E904E3" w:rsidRPr="00641FBB">
        <w:t xml:space="preserve"> come before the </w:t>
      </w:r>
      <w:r w:rsidR="00DB4DE6" w:rsidRPr="00641FBB">
        <w:t>CESCR</w:t>
      </w:r>
      <w:r w:rsidR="00E904E3" w:rsidRPr="00641FBB">
        <w:t>.</w:t>
      </w:r>
      <w:r w:rsidR="0024096F" w:rsidRPr="00641FBB">
        <w:t xml:space="preserve"> </w:t>
      </w:r>
      <w:r w:rsidR="00A3289B" w:rsidRPr="00276ED6">
        <w:t>See “Participation in the work of the Committee” on the CESCR’s website.</w:t>
      </w:r>
    </w:p>
    <w:p w14:paraId="0E4CB71D" w14:textId="3D73FB94" w:rsidR="0027782E" w:rsidRPr="00641FBB" w:rsidRDefault="0027782E" w:rsidP="00D24273">
      <w:r w:rsidRPr="00641FBB">
        <w:t>Organizations may attend a CESCR session or a pre-session working group meeting. To do so, they must complete and file an “accreditation request form” </w:t>
      </w:r>
      <w:r w:rsidR="00177435" w:rsidRPr="00641FBB">
        <w:t>in advance</w:t>
      </w:r>
      <w:r w:rsidRPr="00641FBB">
        <w:t>. Those that have submitted reports to the CESCR may make a brief oral presentation on the afternoon of the first Monday of the session and/or organize informal lunchtime briefings with the Committee.</w:t>
      </w:r>
    </w:p>
    <w:p w14:paraId="4AAA5434" w14:textId="7770DA97" w:rsidR="002943A5" w:rsidRPr="00276ED6" w:rsidRDefault="002943A5" w:rsidP="00D24273">
      <w:r w:rsidRPr="00641FBB">
        <w:t>Within the CESCR’s individual complaints mechanism, NGOs are allowed to submit reports on behalf of individuals with the individual’s consent.</w:t>
      </w:r>
      <w:r w:rsidR="00A3289B" w:rsidRPr="00641FBB">
        <w:t xml:space="preserve"> </w:t>
      </w:r>
      <w:r w:rsidR="00A3289B" w:rsidRPr="00276ED6">
        <w:t xml:space="preserve">See ‘Complaints procedure’ on the CESCR’s website. </w:t>
      </w:r>
    </w:p>
    <w:p w14:paraId="58285588" w14:textId="77777777" w:rsidR="00680F02" w:rsidRPr="00641FBB" w:rsidRDefault="00680F02" w:rsidP="00F343AE">
      <w:pPr>
        <w:pStyle w:val="Heading4"/>
      </w:pPr>
      <w:r w:rsidRPr="00641FBB">
        <w:t>Contact Information</w:t>
      </w:r>
    </w:p>
    <w:p w14:paraId="6247326A" w14:textId="400EF855" w:rsidR="00F23C70" w:rsidRPr="00641FBB" w:rsidRDefault="00F23C70" w:rsidP="00F343AE">
      <w:pPr>
        <w:pStyle w:val="Heading5"/>
      </w:pPr>
      <w:r w:rsidRPr="00641FBB">
        <w:t>Secretariat</w:t>
      </w:r>
    </w:p>
    <w:p w14:paraId="1E6639C5" w14:textId="77777777" w:rsidR="00680F02" w:rsidRPr="00641FBB" w:rsidRDefault="00680F02">
      <w:pPr>
        <w:pStyle w:val="NoSpacing"/>
      </w:pPr>
      <w:r w:rsidRPr="00641FBB">
        <w:t>Committee on Economic, Social and Cultural Rights (CESCR)</w:t>
      </w:r>
    </w:p>
    <w:p w14:paraId="52C2FB9A" w14:textId="77777777" w:rsidR="00680F02" w:rsidRPr="00641FBB" w:rsidRDefault="00680F02" w:rsidP="00680F02">
      <w:pPr>
        <w:pStyle w:val="NoSpacing"/>
      </w:pPr>
      <w:r w:rsidRPr="00641FBB">
        <w:t>Human Rights Treaties Division (HRTD)</w:t>
      </w:r>
    </w:p>
    <w:p w14:paraId="1D3B3643" w14:textId="77777777" w:rsidR="00680F02" w:rsidRPr="00641FBB" w:rsidRDefault="00680F02" w:rsidP="00680F02">
      <w:pPr>
        <w:pStyle w:val="NoSpacing"/>
      </w:pPr>
      <w:r w:rsidRPr="00641FBB">
        <w:t>Office of the United Nations High Commissioner for Human Rights (OHCHR)</w:t>
      </w:r>
    </w:p>
    <w:p w14:paraId="039D70B9" w14:textId="77777777" w:rsidR="00680F02" w:rsidRPr="00641FBB" w:rsidRDefault="00680F02" w:rsidP="00680F02">
      <w:pPr>
        <w:pStyle w:val="NoSpacing"/>
      </w:pPr>
      <w:r w:rsidRPr="00641FBB">
        <w:t>Palais Wilson - 52, rue des Pâquis</w:t>
      </w:r>
    </w:p>
    <w:p w14:paraId="49FA2E84" w14:textId="49C049F5" w:rsidR="00680F02" w:rsidRPr="00641FBB" w:rsidRDefault="00887631" w:rsidP="00680F02">
      <w:pPr>
        <w:pStyle w:val="NoSpacing"/>
      </w:pPr>
      <w:r w:rsidRPr="00641FBB">
        <w:t>CH-1201 Geneva, Switzerland</w:t>
      </w:r>
    </w:p>
    <w:p w14:paraId="1DD75878" w14:textId="77777777" w:rsidR="00680F02" w:rsidRPr="00641FBB" w:rsidRDefault="00680F02" w:rsidP="00680F02">
      <w:pPr>
        <w:pStyle w:val="NoSpacing"/>
      </w:pPr>
    </w:p>
    <w:p w14:paraId="0BB2334D" w14:textId="4E66B576" w:rsidR="00563DC3" w:rsidRPr="00641FBB" w:rsidRDefault="00563DC3" w:rsidP="00680F02">
      <w:pPr>
        <w:pStyle w:val="NoSpacing"/>
      </w:pPr>
      <w:r w:rsidRPr="00641FBB">
        <w:t>Mailing Address:</w:t>
      </w:r>
    </w:p>
    <w:p w14:paraId="17A81348" w14:textId="77777777" w:rsidR="00680F02" w:rsidRPr="00331FAD" w:rsidRDefault="00680F02" w:rsidP="00680F02">
      <w:pPr>
        <w:pStyle w:val="NoSpacing"/>
        <w:rPr>
          <w:lang w:val="de-AT"/>
        </w:rPr>
      </w:pPr>
      <w:r w:rsidRPr="00331FAD">
        <w:rPr>
          <w:lang w:val="de-AT"/>
        </w:rPr>
        <w:t>UNOG-OHCHR</w:t>
      </w:r>
    </w:p>
    <w:p w14:paraId="25F85C64" w14:textId="71778342" w:rsidR="00680F02" w:rsidRPr="00331FAD" w:rsidRDefault="00887631" w:rsidP="00680F02">
      <w:pPr>
        <w:pStyle w:val="NoSpacing"/>
        <w:rPr>
          <w:lang w:val="de-AT"/>
        </w:rPr>
      </w:pPr>
      <w:r w:rsidRPr="00331FAD">
        <w:rPr>
          <w:lang w:val="de-AT"/>
        </w:rPr>
        <w:t>CH-1211 Geneva 10, Switzerland</w:t>
      </w:r>
    </w:p>
    <w:p w14:paraId="43FD3AC0" w14:textId="77777777" w:rsidR="00680F02" w:rsidRPr="00331FAD" w:rsidRDefault="00680F02" w:rsidP="00680F02">
      <w:pPr>
        <w:pStyle w:val="NoSpacing"/>
        <w:rPr>
          <w:lang w:val="de-AT"/>
        </w:rPr>
      </w:pPr>
    </w:p>
    <w:p w14:paraId="6D57F808" w14:textId="66978296" w:rsidR="00563DC3" w:rsidRPr="00331FAD" w:rsidRDefault="00563DC3" w:rsidP="00680F02">
      <w:pPr>
        <w:pStyle w:val="NoSpacing"/>
        <w:rPr>
          <w:lang w:val="de-AT"/>
        </w:rPr>
      </w:pPr>
      <w:r w:rsidRPr="00331FAD">
        <w:rPr>
          <w:lang w:val="de-AT"/>
        </w:rPr>
        <w:t xml:space="preserve">Tel.: +41 </w:t>
      </w:r>
      <w:r w:rsidR="003473E0" w:rsidRPr="00331FAD">
        <w:rPr>
          <w:lang w:val="de-AT"/>
        </w:rPr>
        <w:t xml:space="preserve">(0) </w:t>
      </w:r>
      <w:r w:rsidRPr="00331FAD">
        <w:rPr>
          <w:lang w:val="de-AT"/>
        </w:rPr>
        <w:t>22 917 90 00</w:t>
      </w:r>
    </w:p>
    <w:p w14:paraId="64C3AA18" w14:textId="5D799EBD" w:rsidR="00680F02" w:rsidRPr="00331FAD" w:rsidRDefault="00680F02" w:rsidP="00680F02">
      <w:pPr>
        <w:pStyle w:val="NoSpacing"/>
        <w:rPr>
          <w:lang w:val="de-AT"/>
        </w:rPr>
      </w:pPr>
      <w:r w:rsidRPr="00331FAD">
        <w:rPr>
          <w:lang w:val="de-AT"/>
        </w:rPr>
        <w:t xml:space="preserve">Fax: +41 </w:t>
      </w:r>
      <w:r w:rsidR="003473E0" w:rsidRPr="00331FAD">
        <w:rPr>
          <w:lang w:val="de-AT"/>
        </w:rPr>
        <w:t xml:space="preserve">(0) </w:t>
      </w:r>
      <w:r w:rsidRPr="00331FAD">
        <w:rPr>
          <w:lang w:val="de-AT"/>
        </w:rPr>
        <w:t>22 917 90 08</w:t>
      </w:r>
    </w:p>
    <w:p w14:paraId="41614C76" w14:textId="77777777" w:rsidR="00680F02" w:rsidRPr="00331FAD" w:rsidRDefault="00680F02" w:rsidP="00680F02">
      <w:pPr>
        <w:pStyle w:val="NoSpacing"/>
        <w:rPr>
          <w:lang w:val="de-AT"/>
        </w:rPr>
      </w:pPr>
      <w:r w:rsidRPr="00331FAD">
        <w:rPr>
          <w:lang w:val="de-AT"/>
        </w:rPr>
        <w:t xml:space="preserve">E-mail:  </w:t>
      </w:r>
      <w:hyperlink r:id="rId12" w:history="1">
        <w:r w:rsidRPr="00331FAD">
          <w:rPr>
            <w:rStyle w:val="Hyperlink"/>
            <w:lang w:val="de-AT"/>
          </w:rPr>
          <w:t>cescr@ohchr.org</w:t>
        </w:r>
      </w:hyperlink>
      <w:r w:rsidRPr="00331FAD">
        <w:rPr>
          <w:lang w:val="de-AT"/>
        </w:rPr>
        <w:t xml:space="preserve"> </w:t>
      </w:r>
    </w:p>
    <w:p w14:paraId="5A635745" w14:textId="1ECD7B4E" w:rsidR="00680F02" w:rsidRPr="00641FBB" w:rsidRDefault="00680F02" w:rsidP="00680F02">
      <w:pPr>
        <w:pStyle w:val="NoSpacing"/>
      </w:pPr>
      <w:r w:rsidRPr="00641FBB">
        <w:t xml:space="preserve">Website: </w:t>
      </w:r>
      <w:hyperlink r:id="rId13" w:history="1">
        <w:r w:rsidR="00A3289B" w:rsidRPr="00641FBB">
          <w:rPr>
            <w:rStyle w:val="Hyperlink"/>
          </w:rPr>
          <w:t>http://www.ohchr.org/en/hrbodies/cescr/pages/cescrindex.aspx</w:t>
        </w:r>
      </w:hyperlink>
    </w:p>
    <w:p w14:paraId="56F89815" w14:textId="029C13D7" w:rsidR="002943A5" w:rsidRPr="00641FBB" w:rsidRDefault="00A80133" w:rsidP="00F343AE">
      <w:pPr>
        <w:pStyle w:val="Heading5"/>
      </w:pPr>
      <w:r w:rsidRPr="00641FBB">
        <w:t>Individual Communications</w:t>
      </w:r>
    </w:p>
    <w:p w14:paraId="59D3E54F" w14:textId="77777777" w:rsidR="002943A5" w:rsidRPr="00641FBB" w:rsidRDefault="002943A5" w:rsidP="002943A5">
      <w:pPr>
        <w:pStyle w:val="NoSpacing"/>
      </w:pPr>
      <w:r w:rsidRPr="00641FBB">
        <w:t>Petitions Team</w:t>
      </w:r>
    </w:p>
    <w:p w14:paraId="3110F027" w14:textId="77777777" w:rsidR="002943A5" w:rsidRPr="00641FBB" w:rsidRDefault="002943A5" w:rsidP="002943A5">
      <w:pPr>
        <w:pStyle w:val="NoSpacing"/>
      </w:pPr>
      <w:r w:rsidRPr="00641FBB">
        <w:t>Office of the High Commissioner for Human Rights</w:t>
      </w:r>
    </w:p>
    <w:p w14:paraId="71D9C395" w14:textId="77777777" w:rsidR="002943A5" w:rsidRPr="00641FBB" w:rsidRDefault="002943A5" w:rsidP="002943A5">
      <w:pPr>
        <w:pStyle w:val="NoSpacing"/>
      </w:pPr>
      <w:r w:rsidRPr="00641FBB">
        <w:t>United Nations Office at Geneva</w:t>
      </w:r>
    </w:p>
    <w:p w14:paraId="4A312CE8" w14:textId="042AF502" w:rsidR="002943A5" w:rsidRPr="00641FBB" w:rsidRDefault="002943A5" w:rsidP="002943A5">
      <w:pPr>
        <w:pStyle w:val="NoSpacing"/>
      </w:pPr>
      <w:r w:rsidRPr="00641FBB">
        <w:t>1211 Geneva 10</w:t>
      </w:r>
      <w:r w:rsidR="00887631" w:rsidRPr="00641FBB">
        <w:t>,</w:t>
      </w:r>
      <w:r w:rsidRPr="00641FBB">
        <w:t xml:space="preserve"> </w:t>
      </w:r>
      <w:r w:rsidR="00887631" w:rsidRPr="00641FBB">
        <w:t>Switzerland</w:t>
      </w:r>
    </w:p>
    <w:p w14:paraId="5B948AD5" w14:textId="77777777" w:rsidR="002943A5" w:rsidRPr="00641FBB" w:rsidRDefault="002943A5" w:rsidP="002943A5">
      <w:pPr>
        <w:pStyle w:val="NoSpacing"/>
      </w:pPr>
    </w:p>
    <w:p w14:paraId="6C9F0350" w14:textId="1DCBA83B" w:rsidR="002943A5" w:rsidRPr="00641FBB" w:rsidRDefault="002943A5" w:rsidP="002943A5">
      <w:pPr>
        <w:pStyle w:val="NoSpacing"/>
      </w:pPr>
      <w:r w:rsidRPr="00641FBB">
        <w:t>Fax: + 41</w:t>
      </w:r>
      <w:r w:rsidR="003473E0" w:rsidRPr="00641FBB">
        <w:t xml:space="preserve"> (0)</w:t>
      </w:r>
      <w:r w:rsidRPr="00641FBB">
        <w:t xml:space="preserve"> 22 917 9022 (particularly for urgent matters) </w:t>
      </w:r>
    </w:p>
    <w:p w14:paraId="68074F8A" w14:textId="4F630573" w:rsidR="008E2686" w:rsidRPr="00641FBB" w:rsidRDefault="002943A5" w:rsidP="00563DC3">
      <w:pPr>
        <w:pStyle w:val="NoSpacing"/>
      </w:pPr>
      <w:r w:rsidRPr="00641FBB">
        <w:t xml:space="preserve">E-mail: </w:t>
      </w:r>
      <w:hyperlink r:id="rId14" w:history="1">
        <w:r w:rsidR="00164E07" w:rsidRPr="00641FBB">
          <w:rPr>
            <w:rStyle w:val="Hyperlink"/>
          </w:rPr>
          <w:t>petitions@ohchr.org</w:t>
        </w:r>
      </w:hyperlink>
      <w:r w:rsidR="00164E07" w:rsidRPr="00641FBB">
        <w:t xml:space="preserve"> </w:t>
      </w:r>
    </w:p>
    <w:p w14:paraId="56BF30A3" w14:textId="6B20FCEC" w:rsidR="002E4B2F" w:rsidRPr="00641FBB" w:rsidRDefault="002E4B2F" w:rsidP="00F343AE">
      <w:pPr>
        <w:pStyle w:val="Heading3"/>
      </w:pPr>
      <w:r w:rsidRPr="00641FBB">
        <w:t>Committee Against Torture</w:t>
      </w:r>
    </w:p>
    <w:p w14:paraId="417077C5" w14:textId="1201E0E2" w:rsidR="002E4B2F" w:rsidRPr="00641FBB" w:rsidRDefault="002E4B2F" w:rsidP="00F343AE">
      <w:pPr>
        <w:pStyle w:val="Heading4"/>
      </w:pPr>
      <w:r w:rsidRPr="00641FBB">
        <w:t>Mandate</w:t>
      </w:r>
    </w:p>
    <w:p w14:paraId="5863A73A" w14:textId="34C3E990" w:rsidR="00A80133" w:rsidRPr="00641FBB" w:rsidRDefault="002E4B2F" w:rsidP="00563DC3">
      <w:r w:rsidRPr="00641FBB">
        <w:t xml:space="preserve">The </w:t>
      </w:r>
      <w:r w:rsidR="00434DC7" w:rsidRPr="00641FBB">
        <w:t>Committee Against Torture (</w:t>
      </w:r>
      <w:r w:rsidRPr="00641FBB">
        <w:t>CAT</w:t>
      </w:r>
      <w:r w:rsidR="00D05706" w:rsidRPr="00641FBB">
        <w:t xml:space="preserve"> Committee</w:t>
      </w:r>
      <w:r w:rsidR="00434DC7" w:rsidRPr="00641FBB">
        <w:t>)</w:t>
      </w:r>
      <w:r w:rsidRPr="00641FBB">
        <w:t xml:space="preserve"> oversees </w:t>
      </w:r>
      <w:r w:rsidR="00E707A4">
        <w:t>S</w:t>
      </w:r>
      <w:r w:rsidR="00A61216" w:rsidRPr="00641FBB">
        <w:t>tate</w:t>
      </w:r>
      <w:r w:rsidRPr="00641FBB">
        <w:t xml:space="preserve"> compliance with the Convention against Torture and Other Cruel, Inhuman or Degrading Treatment or Punishment (</w:t>
      </w:r>
      <w:r w:rsidR="00D05706" w:rsidRPr="00641FBB">
        <w:t>CAT or</w:t>
      </w:r>
      <w:r w:rsidRPr="00641FBB">
        <w:t xml:space="preserve"> “Torture Convention</w:t>
      </w:r>
      <w:r w:rsidR="006D4789" w:rsidRPr="00641FBB">
        <w:t xml:space="preserve">”). </w:t>
      </w:r>
      <w:r w:rsidR="00A80133" w:rsidRPr="00641FBB">
        <w:t xml:space="preserve">The CAT </w:t>
      </w:r>
      <w:r w:rsidR="00D05706" w:rsidRPr="00641FBB">
        <w:t xml:space="preserve">Committee </w:t>
      </w:r>
      <w:r w:rsidR="00A80133" w:rsidRPr="00641FBB">
        <w:t xml:space="preserve">issues interpretative documents on the </w:t>
      </w:r>
      <w:r w:rsidR="00634DE9" w:rsidRPr="00641FBB">
        <w:t>Torture Convention</w:t>
      </w:r>
      <w:r w:rsidR="00A80133" w:rsidRPr="00641FBB">
        <w:t xml:space="preserve"> called “general co</w:t>
      </w:r>
      <w:r w:rsidR="00F87240" w:rsidRPr="00641FBB">
        <w:t>mments.”</w:t>
      </w:r>
    </w:p>
    <w:p w14:paraId="730E989E" w14:textId="1854A3C5" w:rsidR="002E4B2F" w:rsidRPr="00641FBB" w:rsidRDefault="006D4789" w:rsidP="00563DC3">
      <w:r w:rsidRPr="00641FBB">
        <w:t xml:space="preserve">The CAT </w:t>
      </w:r>
      <w:r w:rsidR="00D05706" w:rsidRPr="00641FBB">
        <w:t xml:space="preserve">Committee </w:t>
      </w:r>
      <w:r w:rsidRPr="00641FBB">
        <w:t xml:space="preserve">monitors </w:t>
      </w:r>
      <w:r w:rsidR="002E4B2F" w:rsidRPr="00641FBB">
        <w:t xml:space="preserve">progress in the implementation of the Torture Convention based on periodic reports submitted by </w:t>
      </w:r>
      <w:r w:rsidR="002B7A66">
        <w:t>s</w:t>
      </w:r>
      <w:r w:rsidR="00A61216" w:rsidRPr="00641FBB">
        <w:t>tates</w:t>
      </w:r>
      <w:r w:rsidR="002E4B2F" w:rsidRPr="00641FBB">
        <w:t xml:space="preserve"> that have ratified the treaty, considers inter-state complaints of human rights violations, and examines</w:t>
      </w:r>
      <w:r w:rsidR="002E4B2F" w:rsidRPr="00641FBB">
        <w:rPr>
          <w:b/>
        </w:rPr>
        <w:t xml:space="preserve"> </w:t>
      </w:r>
      <w:r w:rsidR="002E4B2F" w:rsidRPr="00641FBB">
        <w:t>individual complaints</w:t>
      </w:r>
      <w:r w:rsidR="002E4B2F" w:rsidRPr="00641FBB">
        <w:rPr>
          <w:b/>
        </w:rPr>
        <w:t xml:space="preserve"> </w:t>
      </w:r>
      <w:r w:rsidR="002E4B2F" w:rsidRPr="00641FBB">
        <w:t xml:space="preserve">of human rights violations allegedly committed by </w:t>
      </w:r>
      <w:r w:rsidR="002B7A66">
        <w:t>s</w:t>
      </w:r>
      <w:r w:rsidR="00A61216" w:rsidRPr="00641FBB">
        <w:t>tates</w:t>
      </w:r>
      <w:r w:rsidR="002E4B2F" w:rsidRPr="00641FBB">
        <w:t xml:space="preserve"> that have </w:t>
      </w:r>
      <w:r w:rsidR="00872FBB" w:rsidRPr="00641FBB">
        <w:t>expressly recognized the CAT</w:t>
      </w:r>
      <w:r w:rsidR="00D05706" w:rsidRPr="00641FBB">
        <w:t xml:space="preserve"> Committee</w:t>
      </w:r>
      <w:r w:rsidR="00872FBB" w:rsidRPr="00641FBB">
        <w:t>’s competence to receive individual complaints</w:t>
      </w:r>
      <w:r w:rsidR="002E4B2F" w:rsidRPr="00641FBB">
        <w:t xml:space="preserve"> </w:t>
      </w:r>
      <w:r w:rsidR="002A42B0" w:rsidRPr="00641FBB">
        <w:t>(</w:t>
      </w:r>
      <w:r w:rsidR="00872FBB" w:rsidRPr="00641FBB">
        <w:t>under article 22 of the</w:t>
      </w:r>
      <w:r w:rsidR="002E4B2F" w:rsidRPr="00641FBB">
        <w:t xml:space="preserve"> Convention</w:t>
      </w:r>
      <w:r w:rsidR="00872FBB" w:rsidRPr="00641FBB">
        <w:t>)</w:t>
      </w:r>
      <w:r w:rsidR="002E4B2F" w:rsidRPr="00641FBB">
        <w:t>.</w:t>
      </w:r>
    </w:p>
    <w:p w14:paraId="7C387594" w14:textId="7238C112" w:rsidR="00E52AB1" w:rsidRPr="00641FBB" w:rsidRDefault="00F23C70" w:rsidP="00292F9B">
      <w:r w:rsidRPr="00641FBB">
        <w:t xml:space="preserve">As part of the periodic reporting procedure, </w:t>
      </w:r>
      <w:r w:rsidR="00A3289B" w:rsidRPr="00641FBB">
        <w:t>States parties</w:t>
      </w:r>
      <w:r w:rsidRPr="00641FBB">
        <w:t xml:space="preserve"> must report within one year of ratifying the Torture Convention and every four years thereafter. Once a </w:t>
      </w:r>
      <w:r w:rsidR="002B7A66">
        <w:t>s</w:t>
      </w:r>
      <w:r w:rsidR="00F4325F" w:rsidRPr="00641FBB">
        <w:t>tate</w:t>
      </w:r>
      <w:r w:rsidRPr="00641FBB">
        <w:t xml:space="preserve"> submits its report, the CAT</w:t>
      </w:r>
      <w:r w:rsidR="00D05706" w:rsidRPr="00641FBB">
        <w:t xml:space="preserve"> Committee</w:t>
      </w:r>
      <w:r w:rsidRPr="00641FBB">
        <w:t xml:space="preserve"> examines the report and issues “concluding observations,” </w:t>
      </w:r>
      <w:r w:rsidR="00292F9B" w:rsidRPr="00641FBB">
        <w:t xml:space="preserve">which includes the Committee’s </w:t>
      </w:r>
      <w:r w:rsidR="00887631" w:rsidRPr="00641FBB">
        <w:t>conclusions</w:t>
      </w:r>
      <w:r w:rsidR="00292F9B" w:rsidRPr="00641FBB">
        <w:t xml:space="preserve"> on the</w:t>
      </w:r>
      <w:r w:rsidRPr="00641FBB">
        <w:t xml:space="preserve"> </w:t>
      </w:r>
      <w:r w:rsidR="00F4325F" w:rsidRPr="00641FBB">
        <w:t>state’s</w:t>
      </w:r>
      <w:r w:rsidRPr="00641FBB">
        <w:t xml:space="preserve"> </w:t>
      </w:r>
      <w:r w:rsidR="006371D9" w:rsidRPr="00641FBB">
        <w:t>compliance with the</w:t>
      </w:r>
      <w:r w:rsidRPr="00641FBB">
        <w:t xml:space="preserve"> Torture Convention and can </w:t>
      </w:r>
      <w:r w:rsidR="00292F9B" w:rsidRPr="00641FBB">
        <w:t>address</w:t>
      </w:r>
      <w:r w:rsidRPr="00641FBB">
        <w:t xml:space="preserve"> previous recommendations.</w:t>
      </w:r>
    </w:p>
    <w:p w14:paraId="7FB9BAA6" w14:textId="15FBD3E7" w:rsidR="002E4B2F" w:rsidRPr="00641FBB" w:rsidRDefault="002E4B2F" w:rsidP="00F23C70">
      <w:r w:rsidRPr="00641FBB">
        <w:t>The CAT</w:t>
      </w:r>
      <w:r w:rsidR="00D05706" w:rsidRPr="00641FBB">
        <w:t xml:space="preserve"> Committee</w:t>
      </w:r>
      <w:r w:rsidRPr="00641FBB">
        <w:t xml:space="preserve"> meets twice per year.</w:t>
      </w:r>
    </w:p>
    <w:p w14:paraId="43FF0EA7" w14:textId="77777777" w:rsidR="002E4B2F" w:rsidRPr="00641FBB" w:rsidRDefault="002E4B2F" w:rsidP="00F343AE">
      <w:pPr>
        <w:pStyle w:val="Heading4"/>
      </w:pPr>
      <w:r w:rsidRPr="00641FBB">
        <w:t>Civil Society Participation</w:t>
      </w:r>
    </w:p>
    <w:p w14:paraId="2AE1FD07" w14:textId="49AE70E8" w:rsidR="002E4B2F" w:rsidRPr="00276ED6" w:rsidRDefault="002E4B2F" w:rsidP="002E4B2F">
      <w:r w:rsidRPr="00641FBB">
        <w:t xml:space="preserve">As part of the periodic reporting procedure, NGOs can submit </w:t>
      </w:r>
      <w:r w:rsidR="00A3289B" w:rsidRPr="00641FBB">
        <w:t xml:space="preserve">“written information” </w:t>
      </w:r>
      <w:r w:rsidRPr="00641FBB">
        <w:t>to the CAT</w:t>
      </w:r>
      <w:r w:rsidR="00D05706" w:rsidRPr="00641FBB">
        <w:t xml:space="preserve"> Committee</w:t>
      </w:r>
      <w:r w:rsidRPr="00641FBB">
        <w:t xml:space="preserve"> on any aspect of a </w:t>
      </w:r>
      <w:r w:rsidR="00A3289B" w:rsidRPr="00641FBB">
        <w:t>State party</w:t>
      </w:r>
      <w:r w:rsidR="00F4325F" w:rsidRPr="00641FBB">
        <w:t>’s</w:t>
      </w:r>
      <w:r w:rsidRPr="00641FBB">
        <w:t xml:space="preserve"> compliance with </w:t>
      </w:r>
      <w:r w:rsidR="00E52AB1" w:rsidRPr="00641FBB">
        <w:t>Torture Convention</w:t>
      </w:r>
      <w:r w:rsidRPr="00641FBB">
        <w:t xml:space="preserve">. </w:t>
      </w:r>
      <w:r w:rsidR="00A3289B" w:rsidRPr="00641FBB">
        <w:t>Written information</w:t>
      </w:r>
      <w:r w:rsidRPr="00641FBB">
        <w:t xml:space="preserve"> should be submitted through the </w:t>
      </w:r>
      <w:r w:rsidR="00A15F9D" w:rsidRPr="00641FBB">
        <w:t>CAT</w:t>
      </w:r>
      <w:r w:rsidRPr="00641FBB">
        <w:t xml:space="preserve"> Secretariat at the Office of the High Commissioner for Human Rights in Geneva, which also maintains a calendar of when </w:t>
      </w:r>
      <w:r w:rsidR="00A3289B" w:rsidRPr="00641FBB">
        <w:t>States parties</w:t>
      </w:r>
      <w:r w:rsidRPr="00641FBB">
        <w:t xml:space="preserve"> come before the </w:t>
      </w:r>
      <w:r w:rsidR="00A15F9D" w:rsidRPr="00641FBB">
        <w:t>CAT</w:t>
      </w:r>
      <w:r w:rsidR="00D05706" w:rsidRPr="00641FBB">
        <w:t xml:space="preserve"> Committee</w:t>
      </w:r>
      <w:r w:rsidRPr="00641FBB">
        <w:t>.</w:t>
      </w:r>
      <w:r w:rsidR="00302B56" w:rsidRPr="00641FBB">
        <w:t xml:space="preserve"> </w:t>
      </w:r>
      <w:r w:rsidR="00302B56" w:rsidRPr="00276ED6">
        <w:t>See “Participation in the work of the Committee” on the CAT</w:t>
      </w:r>
      <w:r w:rsidR="00D05706" w:rsidRPr="00276ED6">
        <w:t xml:space="preserve"> Committee</w:t>
      </w:r>
      <w:r w:rsidR="00302B56" w:rsidRPr="00276ED6">
        <w:t>’s website.</w:t>
      </w:r>
    </w:p>
    <w:p w14:paraId="64450F49" w14:textId="029B7DBF" w:rsidR="0016403E" w:rsidRPr="00641FBB" w:rsidRDefault="0016403E" w:rsidP="002E4B2F">
      <w:r w:rsidRPr="00641FBB">
        <w:t xml:space="preserve">Organizations </w:t>
      </w:r>
      <w:r w:rsidR="00302B56" w:rsidRPr="00641FBB">
        <w:t xml:space="preserve">that have submitted written information </w:t>
      </w:r>
      <w:r w:rsidRPr="00641FBB">
        <w:t xml:space="preserve">may </w:t>
      </w:r>
      <w:r w:rsidR="00302B56" w:rsidRPr="00641FBB">
        <w:t>meet privately with the CAT</w:t>
      </w:r>
      <w:r w:rsidR="00D05706" w:rsidRPr="00641FBB">
        <w:t xml:space="preserve"> Committee</w:t>
      </w:r>
      <w:r w:rsidR="00302B56" w:rsidRPr="00641FBB">
        <w:t xml:space="preserve">, prior to the Committee’s meeting with the delegation of the </w:t>
      </w:r>
      <w:r w:rsidR="002B7A66">
        <w:t>s</w:t>
      </w:r>
      <w:r w:rsidR="00302B56" w:rsidRPr="00641FBB">
        <w:t>tate being reviewed. National Human Rights Institutions (NHRIs) may likewise meet in private with relevant CAT</w:t>
      </w:r>
      <w:r w:rsidR="00D05706" w:rsidRPr="00641FBB">
        <w:t xml:space="preserve"> Committee</w:t>
      </w:r>
      <w:r w:rsidR="00302B56" w:rsidRPr="00641FBB">
        <w:t xml:space="preserve"> members and country rapporteurs, prior to the CAT</w:t>
      </w:r>
      <w:r w:rsidR="00D05706" w:rsidRPr="00641FBB">
        <w:t xml:space="preserve"> Committee</w:t>
      </w:r>
      <w:r w:rsidR="00302B56" w:rsidRPr="00641FBB">
        <w:t xml:space="preserve">’s meeting with </w:t>
      </w:r>
      <w:r w:rsidR="008C310B">
        <w:t xml:space="preserve">the </w:t>
      </w:r>
      <w:r w:rsidR="002B7A66">
        <w:t>s</w:t>
      </w:r>
      <w:r w:rsidR="00302B56" w:rsidRPr="00641FBB">
        <w:t xml:space="preserve">tate. </w:t>
      </w:r>
      <w:r w:rsidRPr="00641FBB">
        <w:t xml:space="preserve">To </w:t>
      </w:r>
      <w:r w:rsidR="00302B56" w:rsidRPr="00641FBB">
        <w:t>participate in this manner</w:t>
      </w:r>
      <w:r w:rsidRPr="00641FBB">
        <w:t xml:space="preserve">, </w:t>
      </w:r>
      <w:r w:rsidR="00302B56" w:rsidRPr="00641FBB">
        <w:t>organizations</w:t>
      </w:r>
      <w:r w:rsidRPr="00641FBB">
        <w:t xml:space="preserve"> must complete and file an “accreditation request form” </w:t>
      </w:r>
      <w:r w:rsidR="00177435" w:rsidRPr="00641FBB">
        <w:t>in advance</w:t>
      </w:r>
      <w:r w:rsidR="00302B56" w:rsidRPr="00641FBB">
        <w:t>.</w:t>
      </w:r>
    </w:p>
    <w:p w14:paraId="7763504D" w14:textId="33E6540A" w:rsidR="002E4B2F" w:rsidRPr="00276ED6" w:rsidRDefault="00887631" w:rsidP="00F23C70">
      <w:r w:rsidRPr="00641FBB">
        <w:t xml:space="preserve">The </w:t>
      </w:r>
      <w:r w:rsidR="00A15F9D" w:rsidRPr="00641FBB">
        <w:t>CAT</w:t>
      </w:r>
      <w:r w:rsidR="002E4B2F" w:rsidRPr="00641FBB">
        <w:t xml:space="preserve"> </w:t>
      </w:r>
      <w:r w:rsidR="00D05706" w:rsidRPr="00641FBB">
        <w:t xml:space="preserve">Committee </w:t>
      </w:r>
      <w:r w:rsidR="002E4B2F" w:rsidRPr="00641FBB">
        <w:t xml:space="preserve">may also consider individual complaints of human rights violations allegedly committed by </w:t>
      </w:r>
      <w:r w:rsidR="002B7A66">
        <w:t>s</w:t>
      </w:r>
      <w:r w:rsidR="00F4325F" w:rsidRPr="00641FBB">
        <w:t>tates</w:t>
      </w:r>
      <w:r w:rsidR="002E4B2F" w:rsidRPr="00641FBB">
        <w:t xml:space="preserve"> that have made the necessary declaration under</w:t>
      </w:r>
      <w:r w:rsidR="007F11A5" w:rsidRPr="00641FBB">
        <w:t xml:space="preserve"> a</w:t>
      </w:r>
      <w:r w:rsidR="00872FBB" w:rsidRPr="00641FBB">
        <w:t>rticle 22 of the</w:t>
      </w:r>
      <w:r w:rsidR="002E4B2F" w:rsidRPr="00641FBB">
        <w:t xml:space="preserve"> </w:t>
      </w:r>
      <w:r w:rsidR="006557B1" w:rsidRPr="00641FBB">
        <w:t>Torture Convention</w:t>
      </w:r>
      <w:r w:rsidR="002E4B2F" w:rsidRPr="00641FBB">
        <w:t>.</w:t>
      </w:r>
      <w:r w:rsidR="006826F5" w:rsidRPr="00641FBB">
        <w:t xml:space="preserve"> </w:t>
      </w:r>
      <w:r w:rsidR="0032463A" w:rsidRPr="00276ED6">
        <w:t xml:space="preserve">See ‘Complaints procedure’ on </w:t>
      </w:r>
      <w:r w:rsidR="006826F5" w:rsidRPr="00276ED6">
        <w:t>the CAT</w:t>
      </w:r>
      <w:r w:rsidR="00D05706" w:rsidRPr="00276ED6">
        <w:t xml:space="preserve"> Committee</w:t>
      </w:r>
      <w:r w:rsidR="006826F5" w:rsidRPr="00276ED6">
        <w:t>’s website.</w:t>
      </w:r>
    </w:p>
    <w:p w14:paraId="73F980E9" w14:textId="585853CA" w:rsidR="00A15F9D" w:rsidRPr="00641FBB" w:rsidRDefault="00A15F9D" w:rsidP="00F343AE">
      <w:pPr>
        <w:pStyle w:val="Heading4"/>
      </w:pPr>
      <w:r w:rsidRPr="00641FBB">
        <w:t>Contact Information</w:t>
      </w:r>
    </w:p>
    <w:p w14:paraId="24226328" w14:textId="5B9EA6BE" w:rsidR="00507554" w:rsidRPr="00641FBB" w:rsidRDefault="00507554" w:rsidP="00F343AE">
      <w:pPr>
        <w:pStyle w:val="Heading5"/>
      </w:pPr>
      <w:r w:rsidRPr="00641FBB">
        <w:t>Secretariat</w:t>
      </w:r>
    </w:p>
    <w:p w14:paraId="2D7812EE" w14:textId="7BABBE80" w:rsidR="00A15F9D" w:rsidRPr="00641FBB" w:rsidRDefault="00A15F9D" w:rsidP="00F23C70">
      <w:pPr>
        <w:pStyle w:val="NoSpacing"/>
      </w:pPr>
      <w:r w:rsidRPr="00641FBB">
        <w:t>Committee a</w:t>
      </w:r>
      <w:r w:rsidR="00D05706" w:rsidRPr="00641FBB">
        <w:t>gainst Torture (CAT)</w:t>
      </w:r>
    </w:p>
    <w:p w14:paraId="727B030F" w14:textId="77777777" w:rsidR="00A15F9D" w:rsidRPr="00641FBB" w:rsidRDefault="00A15F9D" w:rsidP="00F23C70">
      <w:pPr>
        <w:pStyle w:val="NoSpacing"/>
      </w:pPr>
      <w:r w:rsidRPr="00641FBB">
        <w:t>Human Rights Treaties Division (HRTD)</w:t>
      </w:r>
    </w:p>
    <w:p w14:paraId="7431450A" w14:textId="77777777" w:rsidR="00A15F9D" w:rsidRPr="00641FBB" w:rsidRDefault="00A15F9D" w:rsidP="00F23C70">
      <w:pPr>
        <w:pStyle w:val="NoSpacing"/>
      </w:pPr>
      <w:r w:rsidRPr="00641FBB">
        <w:t>Office of the United Nations High Commissioner for Human Rights (OHCHR)</w:t>
      </w:r>
    </w:p>
    <w:p w14:paraId="213294BC" w14:textId="77777777" w:rsidR="00A15F9D" w:rsidRPr="00641FBB" w:rsidRDefault="00A15F9D" w:rsidP="00F23C70">
      <w:pPr>
        <w:pStyle w:val="NoSpacing"/>
      </w:pPr>
      <w:r w:rsidRPr="00641FBB">
        <w:t>Palais Wilson - 52, rue des Pâquis</w:t>
      </w:r>
    </w:p>
    <w:p w14:paraId="5F70A515" w14:textId="4A970E43" w:rsidR="00A15F9D" w:rsidRPr="00641FBB" w:rsidRDefault="006557B1" w:rsidP="00887631">
      <w:pPr>
        <w:pStyle w:val="NoSpacing"/>
      </w:pPr>
      <w:r w:rsidRPr="00641FBB">
        <w:t>CH-1201 Geneva</w:t>
      </w:r>
      <w:r w:rsidR="00887631" w:rsidRPr="00641FBB">
        <w:t>, Switzerland</w:t>
      </w:r>
    </w:p>
    <w:p w14:paraId="5FA388F8" w14:textId="77777777" w:rsidR="00887631" w:rsidRPr="00641FBB" w:rsidRDefault="00887631" w:rsidP="00887631">
      <w:pPr>
        <w:pStyle w:val="NoSpacing"/>
      </w:pPr>
    </w:p>
    <w:p w14:paraId="2B8407B8" w14:textId="77777777" w:rsidR="00F23C70" w:rsidRPr="00641FBB" w:rsidRDefault="00F23C70" w:rsidP="00F23C70">
      <w:pPr>
        <w:pStyle w:val="NoSpacing"/>
      </w:pPr>
      <w:r w:rsidRPr="00641FBB">
        <w:t>Mailing Address:</w:t>
      </w:r>
    </w:p>
    <w:p w14:paraId="049AB6CE" w14:textId="77777777" w:rsidR="00A15F9D" w:rsidRPr="00331FAD" w:rsidRDefault="00A15F9D" w:rsidP="00F23C70">
      <w:pPr>
        <w:pStyle w:val="NoSpacing"/>
        <w:rPr>
          <w:lang w:val="de-AT"/>
        </w:rPr>
      </w:pPr>
      <w:r w:rsidRPr="00331FAD">
        <w:rPr>
          <w:lang w:val="de-AT"/>
        </w:rPr>
        <w:t>UNOG-OHCHR</w:t>
      </w:r>
    </w:p>
    <w:p w14:paraId="0F3C5816" w14:textId="243A3455" w:rsidR="00A15F9D" w:rsidRPr="00331FAD" w:rsidRDefault="00A15F9D" w:rsidP="00F23C70">
      <w:pPr>
        <w:spacing w:before="0" w:after="0"/>
        <w:rPr>
          <w:lang w:val="de-AT"/>
        </w:rPr>
      </w:pPr>
      <w:r w:rsidRPr="00331FAD">
        <w:rPr>
          <w:lang w:val="de-AT"/>
        </w:rPr>
        <w:t>CH-1211 Geneva 10</w:t>
      </w:r>
      <w:r w:rsidR="00887631" w:rsidRPr="00331FAD">
        <w:rPr>
          <w:lang w:val="de-AT"/>
        </w:rPr>
        <w:t>, Switzerland</w:t>
      </w:r>
    </w:p>
    <w:p w14:paraId="3835BDE0" w14:textId="77777777" w:rsidR="00F23C70" w:rsidRPr="00331FAD" w:rsidRDefault="00F23C70" w:rsidP="00F23C70">
      <w:pPr>
        <w:spacing w:before="0" w:after="0"/>
        <w:rPr>
          <w:lang w:val="de-AT"/>
        </w:rPr>
      </w:pPr>
    </w:p>
    <w:p w14:paraId="190BF91E" w14:textId="2901A4AB" w:rsidR="00A15F9D" w:rsidRPr="00331FAD" w:rsidRDefault="00A15F9D" w:rsidP="00F23C70">
      <w:pPr>
        <w:pStyle w:val="NoSpacing"/>
        <w:rPr>
          <w:lang w:val="de-AT"/>
        </w:rPr>
      </w:pPr>
      <w:r w:rsidRPr="00331FAD">
        <w:rPr>
          <w:lang w:val="de-AT"/>
        </w:rPr>
        <w:t xml:space="preserve">Tel.: +41 </w:t>
      </w:r>
      <w:r w:rsidR="003473E0" w:rsidRPr="00331FAD">
        <w:rPr>
          <w:lang w:val="de-AT"/>
        </w:rPr>
        <w:t xml:space="preserve">(0) </w:t>
      </w:r>
      <w:r w:rsidRPr="00331FAD">
        <w:rPr>
          <w:lang w:val="de-AT"/>
        </w:rPr>
        <w:t>22 917 97 06</w:t>
      </w:r>
    </w:p>
    <w:p w14:paraId="7B60C56B" w14:textId="3F1707AB" w:rsidR="00A15F9D" w:rsidRPr="00331FAD" w:rsidRDefault="00A15F9D" w:rsidP="00F23C70">
      <w:pPr>
        <w:pStyle w:val="NoSpacing"/>
        <w:rPr>
          <w:lang w:val="de-AT"/>
        </w:rPr>
      </w:pPr>
      <w:r w:rsidRPr="00331FAD">
        <w:rPr>
          <w:lang w:val="de-AT"/>
        </w:rPr>
        <w:t xml:space="preserve">Fax: +41 </w:t>
      </w:r>
      <w:r w:rsidR="003473E0" w:rsidRPr="00331FAD">
        <w:rPr>
          <w:lang w:val="de-AT"/>
        </w:rPr>
        <w:t xml:space="preserve">(0) </w:t>
      </w:r>
      <w:r w:rsidRPr="00331FAD">
        <w:rPr>
          <w:lang w:val="de-AT"/>
        </w:rPr>
        <w:t>22 917 90 08</w:t>
      </w:r>
    </w:p>
    <w:p w14:paraId="4A828BB0" w14:textId="32151CAF" w:rsidR="00A15F9D" w:rsidRPr="00331FAD" w:rsidRDefault="00A15F9D" w:rsidP="00F23C70">
      <w:pPr>
        <w:pStyle w:val="NoSpacing"/>
        <w:rPr>
          <w:lang w:val="de-AT"/>
        </w:rPr>
      </w:pPr>
      <w:r w:rsidRPr="00331FAD">
        <w:rPr>
          <w:lang w:val="de-AT"/>
        </w:rPr>
        <w:t xml:space="preserve">E-mail: </w:t>
      </w:r>
      <w:hyperlink r:id="rId15" w:history="1">
        <w:r w:rsidR="006557B1" w:rsidRPr="00331FAD">
          <w:rPr>
            <w:rStyle w:val="Hyperlink"/>
            <w:lang w:val="de-AT"/>
          </w:rPr>
          <w:t>cat@ohchr.org</w:t>
        </w:r>
      </w:hyperlink>
      <w:r w:rsidR="006557B1" w:rsidRPr="00331FAD">
        <w:rPr>
          <w:lang w:val="de-AT"/>
        </w:rPr>
        <w:t xml:space="preserve"> </w:t>
      </w:r>
    </w:p>
    <w:p w14:paraId="0D35B57C" w14:textId="7D219450" w:rsidR="00A15F9D" w:rsidRPr="00641FBB" w:rsidRDefault="006557B1" w:rsidP="00F23C70">
      <w:pPr>
        <w:spacing w:before="0" w:after="0"/>
      </w:pPr>
      <w:r w:rsidRPr="00641FBB">
        <w:t xml:space="preserve">Website: </w:t>
      </w:r>
      <w:hyperlink r:id="rId16" w:history="1">
        <w:r w:rsidR="00887631" w:rsidRPr="00641FBB">
          <w:rPr>
            <w:rStyle w:val="Hyperlink"/>
          </w:rPr>
          <w:t>www.ohchr.org/EN/HRBodies/CAT/Pages/CATIndex.aspx</w:t>
        </w:r>
      </w:hyperlink>
      <w:r w:rsidR="00F23C70" w:rsidRPr="00641FBB">
        <w:t xml:space="preserve"> </w:t>
      </w:r>
    </w:p>
    <w:p w14:paraId="608001A7" w14:textId="1F44B3F1" w:rsidR="00A15F9D" w:rsidRPr="00641FBB" w:rsidRDefault="006557B1" w:rsidP="00F343AE">
      <w:pPr>
        <w:pStyle w:val="Heading5"/>
      </w:pPr>
      <w:r w:rsidRPr="00641FBB">
        <w:t xml:space="preserve">Individual </w:t>
      </w:r>
      <w:r w:rsidR="00A80133" w:rsidRPr="00641FBB">
        <w:t>Communications</w:t>
      </w:r>
    </w:p>
    <w:p w14:paraId="29CC58EF" w14:textId="77777777" w:rsidR="00A15F9D" w:rsidRPr="00641FBB" w:rsidRDefault="00A15F9D" w:rsidP="00F23C70">
      <w:pPr>
        <w:pStyle w:val="NoSpacing"/>
      </w:pPr>
      <w:r w:rsidRPr="00641FBB">
        <w:t>Petitions Team</w:t>
      </w:r>
    </w:p>
    <w:p w14:paraId="1F7C8691" w14:textId="77777777" w:rsidR="00A15F9D" w:rsidRPr="00641FBB" w:rsidRDefault="00A15F9D" w:rsidP="00F23C70">
      <w:pPr>
        <w:pStyle w:val="NoSpacing"/>
      </w:pPr>
      <w:r w:rsidRPr="00641FBB">
        <w:t>Office of the High Commissioner for Human Rights</w:t>
      </w:r>
    </w:p>
    <w:p w14:paraId="074335EE" w14:textId="77777777" w:rsidR="00A15F9D" w:rsidRPr="00641FBB" w:rsidRDefault="00A15F9D" w:rsidP="00F23C70">
      <w:pPr>
        <w:pStyle w:val="NoSpacing"/>
      </w:pPr>
      <w:r w:rsidRPr="00641FBB">
        <w:t>United Nations Office at Geneva</w:t>
      </w:r>
    </w:p>
    <w:p w14:paraId="0805BCE3" w14:textId="0A9B3569" w:rsidR="00A15F9D" w:rsidRPr="00641FBB" w:rsidRDefault="006557B1" w:rsidP="00F23C70">
      <w:pPr>
        <w:spacing w:before="0" w:after="0"/>
      </w:pPr>
      <w:r w:rsidRPr="00641FBB">
        <w:t>1211 Geneva 10</w:t>
      </w:r>
      <w:r w:rsidR="00887631" w:rsidRPr="00641FBB">
        <w:t>, Switzerland</w:t>
      </w:r>
    </w:p>
    <w:p w14:paraId="21C1F4C7" w14:textId="77777777" w:rsidR="00F23C70" w:rsidRPr="00641FBB" w:rsidRDefault="00F23C70" w:rsidP="00F23C70">
      <w:pPr>
        <w:spacing w:before="0" w:after="0"/>
      </w:pPr>
    </w:p>
    <w:p w14:paraId="5F2C061D" w14:textId="718DF2E6" w:rsidR="00A15F9D" w:rsidRPr="00641FBB" w:rsidRDefault="00A15F9D" w:rsidP="00F23C70">
      <w:pPr>
        <w:pStyle w:val="NoSpacing"/>
      </w:pPr>
      <w:r w:rsidRPr="00641FBB">
        <w:t xml:space="preserve">Fax: + 41 </w:t>
      </w:r>
      <w:r w:rsidR="003473E0" w:rsidRPr="00641FBB">
        <w:t xml:space="preserve">(0) </w:t>
      </w:r>
      <w:r w:rsidRPr="00641FBB">
        <w:t xml:space="preserve">22 917 9022 (particularly for urgent matters) </w:t>
      </w:r>
    </w:p>
    <w:p w14:paraId="45D35B09" w14:textId="3EC148E4" w:rsidR="00A15F9D" w:rsidRPr="00641FBB" w:rsidRDefault="00A15F9D" w:rsidP="00F23C70">
      <w:pPr>
        <w:spacing w:before="0" w:after="0"/>
      </w:pPr>
      <w:r w:rsidRPr="00641FBB">
        <w:t xml:space="preserve">E-mail: </w:t>
      </w:r>
      <w:hyperlink r:id="rId17" w:history="1">
        <w:r w:rsidR="00887631" w:rsidRPr="00641FBB">
          <w:rPr>
            <w:rStyle w:val="Hyperlink"/>
          </w:rPr>
          <w:t>petitions@ohchr.org</w:t>
        </w:r>
      </w:hyperlink>
      <w:r w:rsidR="00887631" w:rsidRPr="00641FBB">
        <w:t xml:space="preserve"> </w:t>
      </w:r>
    </w:p>
    <w:p w14:paraId="7E3A0611" w14:textId="4440C692" w:rsidR="00EA3D21" w:rsidRPr="00641FBB" w:rsidRDefault="00EA3D21" w:rsidP="00F343AE">
      <w:pPr>
        <w:pStyle w:val="Heading3"/>
      </w:pPr>
      <w:r w:rsidRPr="00641FBB">
        <w:t>Committee on the Elimination of All Forms of Discrimination Against Women</w:t>
      </w:r>
    </w:p>
    <w:p w14:paraId="1307BA4E" w14:textId="77777777" w:rsidR="00EA3D21" w:rsidRPr="00641FBB" w:rsidRDefault="00EA3D21" w:rsidP="00F343AE">
      <w:pPr>
        <w:pStyle w:val="Heading4"/>
      </w:pPr>
      <w:r w:rsidRPr="00641FBB">
        <w:t>Mandate</w:t>
      </w:r>
    </w:p>
    <w:p w14:paraId="590D467D" w14:textId="22EC5630" w:rsidR="00A30811" w:rsidRPr="00641FBB" w:rsidRDefault="00EA3D21" w:rsidP="00EA3D21">
      <w:r w:rsidRPr="00641FBB">
        <w:t xml:space="preserve">The Committee on the Elimination of All Forms of Discrimination Against Women (CEDAW Committee) oversees </w:t>
      </w:r>
      <w:r w:rsidR="008C310B">
        <w:t>S</w:t>
      </w:r>
      <w:r w:rsidR="00F4325F" w:rsidRPr="00641FBB">
        <w:t>tate</w:t>
      </w:r>
      <w:r w:rsidRPr="00641FBB">
        <w:t xml:space="preserve"> compliance with the Convention on the Elimination of All Forms of Discrimination Against Women (CEDAW). </w:t>
      </w:r>
      <w:r w:rsidR="00A30811" w:rsidRPr="00641FBB">
        <w:t xml:space="preserve">The CEDAW Committee issues interpretative documents on the CEDAW called “general recommendations.” </w:t>
      </w:r>
    </w:p>
    <w:p w14:paraId="2A830D31" w14:textId="2DD4C11A" w:rsidR="00EA3D21" w:rsidRPr="00641FBB" w:rsidRDefault="008E2686" w:rsidP="00EA3D21">
      <w:r w:rsidRPr="00641FBB">
        <w:t xml:space="preserve">The CEDAW Committee monitors country progress in the implementation of the CEDAW based on periodic reports submitted by </w:t>
      </w:r>
      <w:r w:rsidR="00A3289B" w:rsidRPr="00641FBB">
        <w:t>States parties</w:t>
      </w:r>
      <w:r w:rsidR="001B4330" w:rsidRPr="00641FBB">
        <w:t xml:space="preserve"> that have ratified the treaty.</w:t>
      </w:r>
      <w:r w:rsidRPr="00641FBB">
        <w:t xml:space="preserve"> </w:t>
      </w:r>
      <w:r w:rsidR="00634DE9" w:rsidRPr="00641FBB">
        <w:t>The C</w:t>
      </w:r>
      <w:r w:rsidR="00EA3D21" w:rsidRPr="00641FBB">
        <w:t xml:space="preserve">ommittee is also empowered to </w:t>
      </w:r>
      <w:r w:rsidR="00164E07" w:rsidRPr="00641FBB">
        <w:t>initiate inquiries into systemic violations of women’s rights</w:t>
      </w:r>
      <w:r w:rsidR="00887631" w:rsidRPr="00641FBB">
        <w:t>, as well as examine and</w:t>
      </w:r>
      <w:r w:rsidR="00164E07" w:rsidRPr="00641FBB">
        <w:t xml:space="preserve"> consider </w:t>
      </w:r>
      <w:r w:rsidR="00EA3D21" w:rsidRPr="00641FBB">
        <w:t xml:space="preserve">individual complaints relating to violations of rights </w:t>
      </w:r>
      <w:r w:rsidR="00164E07" w:rsidRPr="00641FBB">
        <w:t>allegedly committed by</w:t>
      </w:r>
      <w:r w:rsidR="00EA3D21" w:rsidRPr="00641FBB">
        <w:t xml:space="preserve"> </w:t>
      </w:r>
      <w:r w:rsidR="003208F6">
        <w:t>s</w:t>
      </w:r>
      <w:r w:rsidR="00F4325F" w:rsidRPr="00641FBB">
        <w:t>tates</w:t>
      </w:r>
      <w:r w:rsidR="00164E07" w:rsidRPr="00641FBB">
        <w:t xml:space="preserve"> that have ratified the Optional Protocol to CEDAW</w:t>
      </w:r>
      <w:r w:rsidR="00EA3D21" w:rsidRPr="00641FBB">
        <w:t>.</w:t>
      </w:r>
    </w:p>
    <w:p w14:paraId="7DC58A5C" w14:textId="7504758F" w:rsidR="001C670F" w:rsidRPr="00641FBB" w:rsidRDefault="001C670F" w:rsidP="001C670F">
      <w:r w:rsidRPr="00641FBB">
        <w:t xml:space="preserve">Under the periodic reporting procedure, </w:t>
      </w:r>
      <w:r w:rsidR="00A3289B" w:rsidRPr="00641FBB">
        <w:t>States parties</w:t>
      </w:r>
      <w:r w:rsidR="00CC6B59" w:rsidRPr="00641FBB">
        <w:t xml:space="preserve"> must report within one year of ratifying the CEDAW and at least every four years thereafter. Once the </w:t>
      </w:r>
      <w:r w:rsidR="00A3289B" w:rsidRPr="00641FBB">
        <w:t>State party</w:t>
      </w:r>
      <w:r w:rsidR="00CC6B59" w:rsidRPr="00641FBB">
        <w:t xml:space="preserve"> submits its report, t</w:t>
      </w:r>
      <w:r w:rsidRPr="00641FBB">
        <w:t xml:space="preserve">he </w:t>
      </w:r>
      <w:r w:rsidR="00A30811" w:rsidRPr="00641FBB">
        <w:t>committee</w:t>
      </w:r>
      <w:r w:rsidRPr="00641FBB">
        <w:t xml:space="preserve"> examines </w:t>
      </w:r>
      <w:r w:rsidR="00634DE9" w:rsidRPr="00641FBB">
        <w:t>the</w:t>
      </w:r>
      <w:r w:rsidRPr="00641FBB">
        <w:t xml:space="preserve"> report and </w:t>
      </w:r>
      <w:r w:rsidR="00CC6B59" w:rsidRPr="00641FBB">
        <w:t>provides</w:t>
      </w:r>
      <w:r w:rsidRPr="00641FBB">
        <w:t xml:space="preserve"> </w:t>
      </w:r>
      <w:r w:rsidR="00CC6B59" w:rsidRPr="00641FBB">
        <w:t xml:space="preserve">conclusions on the </w:t>
      </w:r>
      <w:r w:rsidR="003208F6">
        <w:t>s</w:t>
      </w:r>
      <w:r w:rsidR="00F4325F" w:rsidRPr="00641FBB">
        <w:t>tate’s</w:t>
      </w:r>
      <w:r w:rsidR="00CC6B59" w:rsidRPr="00641FBB">
        <w:t xml:space="preserve"> implementation of the CEDAW,</w:t>
      </w:r>
      <w:r w:rsidR="00D13138" w:rsidRPr="00641FBB">
        <w:t xml:space="preserve"> highlighting</w:t>
      </w:r>
      <w:r w:rsidR="00A26073" w:rsidRPr="00641FBB">
        <w:t xml:space="preserve"> both positive aspects and</w:t>
      </w:r>
      <w:r w:rsidR="00CC6B59" w:rsidRPr="00641FBB">
        <w:t xml:space="preserve"> areas of concern, as well as </w:t>
      </w:r>
      <w:r w:rsidR="00A26073" w:rsidRPr="00641FBB">
        <w:t xml:space="preserve">providing </w:t>
      </w:r>
      <w:r w:rsidR="00CC6B59" w:rsidRPr="00641FBB">
        <w:t>su</w:t>
      </w:r>
      <w:r w:rsidR="00A26073" w:rsidRPr="00641FBB">
        <w:t xml:space="preserve">ggestions and recommendations on how the </w:t>
      </w:r>
      <w:r w:rsidR="003208F6">
        <w:t>s</w:t>
      </w:r>
      <w:r w:rsidR="00F4325F" w:rsidRPr="00641FBB">
        <w:t>tate</w:t>
      </w:r>
      <w:r w:rsidR="00A26073" w:rsidRPr="00641FBB">
        <w:t xml:space="preserve"> can better implement the treaty.</w:t>
      </w:r>
      <w:r w:rsidRPr="00641FBB">
        <w:t xml:space="preserve"> </w:t>
      </w:r>
    </w:p>
    <w:p w14:paraId="438C7086" w14:textId="52AD126A" w:rsidR="001C670F" w:rsidRPr="00641FBB" w:rsidRDefault="001C670F" w:rsidP="001C670F">
      <w:r w:rsidRPr="00641FBB">
        <w:t xml:space="preserve">The CEDAW Committee meets </w:t>
      </w:r>
      <w:r w:rsidR="00BA5443" w:rsidRPr="00641FBB">
        <w:t>as many times as needed to carry out its functions</w:t>
      </w:r>
      <w:r w:rsidRPr="00641FBB">
        <w:t>.</w:t>
      </w:r>
    </w:p>
    <w:p w14:paraId="009DD5E4" w14:textId="77777777" w:rsidR="00EA3D21" w:rsidRPr="00641FBB" w:rsidRDefault="00EA3D21" w:rsidP="00F343AE">
      <w:pPr>
        <w:pStyle w:val="Heading4"/>
      </w:pPr>
      <w:r w:rsidRPr="00641FBB">
        <w:t>Civil Society Participation</w:t>
      </w:r>
    </w:p>
    <w:p w14:paraId="42232B13" w14:textId="079BAA93" w:rsidR="00EA3D21" w:rsidRPr="00641FBB" w:rsidRDefault="00BA5443" w:rsidP="00202993">
      <w:r w:rsidRPr="00641FBB">
        <w:t xml:space="preserve">As part of the periodic reporting procedure, </w:t>
      </w:r>
      <w:r w:rsidR="006826F5" w:rsidRPr="00641FBB">
        <w:t>NGOs can submit alternative or shadow reports</w:t>
      </w:r>
      <w:r w:rsidR="00EA3D21" w:rsidRPr="00641FBB">
        <w:t xml:space="preserve"> to the </w:t>
      </w:r>
      <w:r w:rsidR="00634DE9" w:rsidRPr="00641FBB">
        <w:t xml:space="preserve">CEDAW </w:t>
      </w:r>
      <w:r w:rsidR="00EA3D21" w:rsidRPr="00641FBB">
        <w:t xml:space="preserve">Committee on any aspect of a </w:t>
      </w:r>
      <w:r w:rsidR="00A3289B" w:rsidRPr="00641FBB">
        <w:t>State party</w:t>
      </w:r>
      <w:r w:rsidR="00F4325F" w:rsidRPr="00641FBB">
        <w:t>’s</w:t>
      </w:r>
      <w:r w:rsidR="00EA3D21" w:rsidRPr="00641FBB">
        <w:t xml:space="preserve"> compliance with CEDAW. </w:t>
      </w:r>
      <w:r w:rsidR="006826F5" w:rsidRPr="00641FBB">
        <w:t xml:space="preserve"> These </w:t>
      </w:r>
      <w:r w:rsidR="00EA3D21" w:rsidRPr="00641FBB">
        <w:t>reports should be submitted through the Division for the Advancement of Women in New York, which also maintains a calendar of wh</w:t>
      </w:r>
      <w:r w:rsidR="00634DE9" w:rsidRPr="00641FBB">
        <w:t xml:space="preserve">en </w:t>
      </w:r>
      <w:r w:rsidR="00A3289B" w:rsidRPr="00641FBB">
        <w:t>States parties</w:t>
      </w:r>
      <w:r w:rsidR="00634DE9" w:rsidRPr="00641FBB">
        <w:t xml:space="preserve"> come before the c</w:t>
      </w:r>
      <w:r w:rsidR="00EA3D21" w:rsidRPr="00641FBB">
        <w:t xml:space="preserve">ommittee. </w:t>
      </w:r>
      <w:r w:rsidR="00202993" w:rsidRPr="00641FBB">
        <w:t>(</w:t>
      </w:r>
      <w:r w:rsidR="00202993" w:rsidRPr="00276ED6">
        <w:t xml:space="preserve">See </w:t>
      </w:r>
      <w:r w:rsidR="00302B56" w:rsidRPr="00276ED6">
        <w:t>“Participation in the work of the Committee” on the CEDAW Committee’s website</w:t>
      </w:r>
      <w:r w:rsidR="0019711B" w:rsidRPr="00276ED6">
        <w:t xml:space="preserve"> </w:t>
      </w:r>
      <w:r w:rsidR="00302B56" w:rsidRPr="00276ED6">
        <w:t>a</w:t>
      </w:r>
      <w:r w:rsidR="00302B56" w:rsidRPr="00641FBB">
        <w:t xml:space="preserve">nd </w:t>
      </w:r>
      <w:r w:rsidR="00202993" w:rsidRPr="00641FBB">
        <w:t>“Producing Shadow Reports to the CEDAW Committee: A Procedural Guide” by Internation</w:t>
      </w:r>
      <w:r w:rsidR="006826F5" w:rsidRPr="00641FBB">
        <w:t>al Women’s Rights Action Watch</w:t>
      </w:r>
      <w:r w:rsidR="00202993" w:rsidRPr="00641FBB">
        <w:t>).</w:t>
      </w:r>
      <w:r w:rsidR="000866E4" w:rsidRPr="00641FBB">
        <w:t xml:space="preserve"> </w:t>
      </w:r>
      <w:r w:rsidR="006826F5" w:rsidRPr="00641FBB">
        <w:t xml:space="preserve">NGOs can also request the CEDAW Committee to initiate inquiries into systemic violations of women’s rights by </w:t>
      </w:r>
      <w:r w:rsidR="003208F6">
        <w:t>s</w:t>
      </w:r>
      <w:r w:rsidR="006826F5" w:rsidRPr="00641FBB">
        <w:t>tates that have ratified the Optional Protocol under CEDAW.</w:t>
      </w:r>
    </w:p>
    <w:p w14:paraId="5A3847ED" w14:textId="6749C587" w:rsidR="00EA3D21" w:rsidRPr="00641FBB" w:rsidRDefault="006826F5" w:rsidP="00EA3D21">
      <w:r w:rsidRPr="00641FBB">
        <w:t>Organizations may attend a CEDAW Committee’s session as observers</w:t>
      </w:r>
      <w:r w:rsidR="0032463A" w:rsidRPr="00641FBB">
        <w:t xml:space="preserve"> or present at pre-session meetings, which are limited to UN representatives and NGOs whose country reports are being reviewed</w:t>
      </w:r>
      <w:r w:rsidRPr="00641FBB">
        <w:t>. To do so, they must complete and file an “accreditation request form” </w:t>
      </w:r>
      <w:r w:rsidR="00177435" w:rsidRPr="00641FBB">
        <w:t>in advance</w:t>
      </w:r>
      <w:r w:rsidRPr="00641FBB">
        <w:t>. Those that have submitted alternative or shadow reports to the CEDAW Committee</w:t>
      </w:r>
      <w:r w:rsidR="0032463A" w:rsidRPr="00641FBB">
        <w:t xml:space="preserve"> may make an </w:t>
      </w:r>
      <w:r w:rsidRPr="00641FBB">
        <w:t xml:space="preserve">oral presentation during the informal consultation meeting, which is usually scheduled on the first day of the week. </w:t>
      </w:r>
      <w:r w:rsidR="0032463A" w:rsidRPr="00641FBB">
        <w:t>Organizations must also seek accreditation from the Committee to participate in this meeting.</w:t>
      </w:r>
    </w:p>
    <w:p w14:paraId="18C58306" w14:textId="2CBAF2BF" w:rsidR="00EA3D21" w:rsidRPr="00276ED6" w:rsidRDefault="00164E07" w:rsidP="00EA3D21">
      <w:r w:rsidRPr="00641FBB">
        <w:t xml:space="preserve">Within the CEDAW Committee’s individual </w:t>
      </w:r>
      <w:r w:rsidR="00A30811" w:rsidRPr="00641FBB">
        <w:t>communications</w:t>
      </w:r>
      <w:r w:rsidRPr="00641FBB">
        <w:t xml:space="preserve"> mechanism,</w:t>
      </w:r>
      <w:r w:rsidR="00EA3D21" w:rsidRPr="00641FBB">
        <w:t xml:space="preserve"> NGOs are allowed to submit reports on behalf of individuals with the individual’s consent.</w:t>
      </w:r>
      <w:r w:rsidR="006826F5" w:rsidRPr="00641FBB">
        <w:t xml:space="preserve"> </w:t>
      </w:r>
      <w:r w:rsidR="006826F5" w:rsidRPr="00276ED6">
        <w:t>See ‘Complaints procedure’ on the CEDAW Committee’s website.</w:t>
      </w:r>
    </w:p>
    <w:p w14:paraId="180C080C" w14:textId="59F78CB7" w:rsidR="0019711B" w:rsidRPr="00641FBB" w:rsidRDefault="0019711B" w:rsidP="00EA3D21">
      <w:r w:rsidRPr="00641FBB">
        <w:t>For more information, see “NGO Participation” on United Nations Entity for Gender Equality and the Empowerment of Women’s (UN Women) website.</w:t>
      </w:r>
    </w:p>
    <w:p w14:paraId="6C40367F" w14:textId="77777777" w:rsidR="00EA3D21" w:rsidRPr="00641FBB" w:rsidRDefault="00EA3D21" w:rsidP="00F343AE">
      <w:pPr>
        <w:pStyle w:val="Heading4"/>
      </w:pPr>
      <w:r w:rsidRPr="00641FBB">
        <w:t>Contact Information</w:t>
      </w:r>
    </w:p>
    <w:p w14:paraId="7677A49D" w14:textId="77777777" w:rsidR="00EA3D21" w:rsidRPr="00641FBB" w:rsidRDefault="00EA3D21" w:rsidP="00F343AE">
      <w:pPr>
        <w:pStyle w:val="Heading5"/>
      </w:pPr>
      <w:r w:rsidRPr="00641FBB">
        <w:t>Secretariat</w:t>
      </w:r>
    </w:p>
    <w:p w14:paraId="66F30C40" w14:textId="77777777" w:rsidR="00EA3D21" w:rsidRPr="00641FBB" w:rsidRDefault="00EA3D21" w:rsidP="00EA3D21">
      <w:pPr>
        <w:pStyle w:val="NoSpacing"/>
      </w:pPr>
      <w:r w:rsidRPr="00641FBB">
        <w:t>Committee on the Elimination of Discrimination against Women (CEDAW)</w:t>
      </w:r>
    </w:p>
    <w:p w14:paraId="1529DEC6" w14:textId="77777777" w:rsidR="00EA3D21" w:rsidRPr="00641FBB" w:rsidRDefault="00EA3D21" w:rsidP="00EA3D21">
      <w:pPr>
        <w:pStyle w:val="NoSpacing"/>
      </w:pPr>
      <w:r w:rsidRPr="00641FBB">
        <w:t>Human Rights Treaties Division (HRTD)</w:t>
      </w:r>
    </w:p>
    <w:p w14:paraId="02541E83" w14:textId="77777777" w:rsidR="00EA3D21" w:rsidRPr="00641FBB" w:rsidRDefault="00EA3D21" w:rsidP="00EA3D21">
      <w:pPr>
        <w:pStyle w:val="NoSpacing"/>
      </w:pPr>
      <w:r w:rsidRPr="00641FBB">
        <w:t>Office of the United Nations High Commissioner for Human Rights (OHCHR)</w:t>
      </w:r>
    </w:p>
    <w:p w14:paraId="70232D20" w14:textId="77777777" w:rsidR="00EA3D21" w:rsidRPr="00641FBB" w:rsidRDefault="00EA3D21" w:rsidP="00EA3D21">
      <w:pPr>
        <w:pStyle w:val="NoSpacing"/>
      </w:pPr>
      <w:r w:rsidRPr="00641FBB">
        <w:t>Palais Wilson - 52, rue des Pâquis</w:t>
      </w:r>
    </w:p>
    <w:p w14:paraId="108724E8" w14:textId="6B6E7079" w:rsidR="00EA3D21" w:rsidRPr="00641FBB" w:rsidRDefault="00EA3D21" w:rsidP="00EA3D21">
      <w:pPr>
        <w:pStyle w:val="NoSpacing"/>
      </w:pPr>
      <w:r w:rsidRPr="00641FBB">
        <w:t>CH-1201 Geneva</w:t>
      </w:r>
      <w:r w:rsidR="00887631" w:rsidRPr="00641FBB">
        <w:t>,</w:t>
      </w:r>
      <w:r w:rsidRPr="00641FBB">
        <w:t xml:space="preserve"> </w:t>
      </w:r>
      <w:r w:rsidR="00887631" w:rsidRPr="00641FBB">
        <w:t>Switzerland</w:t>
      </w:r>
    </w:p>
    <w:p w14:paraId="2B9FA1A3" w14:textId="77777777" w:rsidR="00EA3D21" w:rsidRPr="00641FBB" w:rsidRDefault="00EA3D21" w:rsidP="00EA3D21">
      <w:pPr>
        <w:pStyle w:val="NoSpacing"/>
      </w:pPr>
    </w:p>
    <w:p w14:paraId="2608BD63" w14:textId="1FCA6E1C" w:rsidR="00EA3D21" w:rsidRPr="00641FBB" w:rsidRDefault="00EA3D21" w:rsidP="00887631">
      <w:pPr>
        <w:pStyle w:val="NoSpacing"/>
      </w:pPr>
      <w:r w:rsidRPr="00641FBB">
        <w:t>Mailing address</w:t>
      </w:r>
      <w:r w:rsidR="00887631" w:rsidRPr="00641FBB">
        <w:t>:</w:t>
      </w:r>
    </w:p>
    <w:p w14:paraId="38564A45" w14:textId="77777777" w:rsidR="00EA3D21" w:rsidRPr="00331FAD" w:rsidRDefault="00EA3D21" w:rsidP="00EA3D21">
      <w:pPr>
        <w:pStyle w:val="NoSpacing"/>
        <w:rPr>
          <w:lang w:val="de-AT"/>
        </w:rPr>
      </w:pPr>
      <w:r w:rsidRPr="00331FAD">
        <w:rPr>
          <w:lang w:val="de-AT"/>
        </w:rPr>
        <w:t>UNOG-OHCHR</w:t>
      </w:r>
    </w:p>
    <w:p w14:paraId="616C0198" w14:textId="026F4B81" w:rsidR="00EA3D21" w:rsidRPr="00331FAD" w:rsidRDefault="00EA3D21" w:rsidP="00EA3D21">
      <w:pPr>
        <w:pStyle w:val="NoSpacing"/>
        <w:rPr>
          <w:lang w:val="de-AT"/>
        </w:rPr>
      </w:pPr>
      <w:r w:rsidRPr="00331FAD">
        <w:rPr>
          <w:lang w:val="de-AT"/>
        </w:rPr>
        <w:t>CH-1211 Geneva 10</w:t>
      </w:r>
      <w:r w:rsidR="00887631" w:rsidRPr="00331FAD">
        <w:rPr>
          <w:lang w:val="de-AT"/>
        </w:rPr>
        <w:t>,</w:t>
      </w:r>
      <w:r w:rsidRPr="00331FAD">
        <w:rPr>
          <w:lang w:val="de-AT"/>
        </w:rPr>
        <w:t xml:space="preserve"> </w:t>
      </w:r>
      <w:r w:rsidR="00887631" w:rsidRPr="00331FAD">
        <w:rPr>
          <w:lang w:val="de-AT"/>
        </w:rPr>
        <w:t>Switzerland</w:t>
      </w:r>
    </w:p>
    <w:p w14:paraId="07861DD5" w14:textId="77777777" w:rsidR="00EA3D21" w:rsidRPr="00331FAD" w:rsidRDefault="00EA3D21" w:rsidP="00EA3D21">
      <w:pPr>
        <w:pStyle w:val="NoSpacing"/>
        <w:rPr>
          <w:lang w:val="de-AT"/>
        </w:rPr>
      </w:pPr>
    </w:p>
    <w:p w14:paraId="3F33204A" w14:textId="6DAC6234" w:rsidR="00EA3D21" w:rsidRPr="00331FAD" w:rsidRDefault="00EA3D21" w:rsidP="00EA3D21">
      <w:pPr>
        <w:pStyle w:val="NoSpacing"/>
        <w:rPr>
          <w:lang w:val="de-AT"/>
        </w:rPr>
      </w:pPr>
      <w:r w:rsidRPr="00331FAD">
        <w:rPr>
          <w:lang w:val="de-AT"/>
        </w:rPr>
        <w:t xml:space="preserve">Tel.: +41 </w:t>
      </w:r>
      <w:r w:rsidR="003473E0" w:rsidRPr="00331FAD">
        <w:rPr>
          <w:lang w:val="de-AT"/>
        </w:rPr>
        <w:t xml:space="preserve">(0) </w:t>
      </w:r>
      <w:r w:rsidRPr="00331FAD">
        <w:rPr>
          <w:lang w:val="de-AT"/>
        </w:rPr>
        <w:t>22 917 94 43</w:t>
      </w:r>
    </w:p>
    <w:p w14:paraId="276A7B4B" w14:textId="09406073" w:rsidR="00EA3D21" w:rsidRPr="00331FAD" w:rsidRDefault="00EA3D21" w:rsidP="00EA3D21">
      <w:pPr>
        <w:pStyle w:val="NoSpacing"/>
        <w:rPr>
          <w:lang w:val="de-AT"/>
        </w:rPr>
      </w:pPr>
      <w:r w:rsidRPr="00331FAD">
        <w:rPr>
          <w:lang w:val="de-AT"/>
        </w:rPr>
        <w:t xml:space="preserve">Fax: +41 </w:t>
      </w:r>
      <w:r w:rsidR="003473E0" w:rsidRPr="00331FAD">
        <w:rPr>
          <w:lang w:val="de-AT"/>
        </w:rPr>
        <w:t xml:space="preserve">(0) </w:t>
      </w:r>
      <w:r w:rsidRPr="00331FAD">
        <w:rPr>
          <w:lang w:val="de-AT"/>
        </w:rPr>
        <w:t>22 917 90 08</w:t>
      </w:r>
    </w:p>
    <w:p w14:paraId="3B08BFDE" w14:textId="77777777" w:rsidR="00EA3D21" w:rsidRPr="00331FAD" w:rsidRDefault="00EA3D21" w:rsidP="00EA3D21">
      <w:pPr>
        <w:pStyle w:val="NoSpacing"/>
        <w:rPr>
          <w:lang w:val="de-AT"/>
        </w:rPr>
      </w:pPr>
      <w:r w:rsidRPr="00331FAD">
        <w:rPr>
          <w:lang w:val="de-AT"/>
        </w:rPr>
        <w:t xml:space="preserve">E-mail: </w:t>
      </w:r>
      <w:hyperlink r:id="rId18" w:history="1">
        <w:r w:rsidRPr="00331FAD">
          <w:rPr>
            <w:rStyle w:val="Hyperlink"/>
            <w:lang w:val="de-AT"/>
          </w:rPr>
          <w:t>cedaw@ohchr.org</w:t>
        </w:r>
      </w:hyperlink>
      <w:r w:rsidRPr="00331FAD">
        <w:rPr>
          <w:lang w:val="de-AT"/>
        </w:rPr>
        <w:t xml:space="preserve"> </w:t>
      </w:r>
    </w:p>
    <w:p w14:paraId="218BFD39" w14:textId="4C001489" w:rsidR="00EA3D21" w:rsidRPr="00641FBB" w:rsidRDefault="00EA3D21" w:rsidP="00EA3D21">
      <w:pPr>
        <w:pStyle w:val="NoSpacing"/>
      </w:pPr>
      <w:r w:rsidRPr="00641FBB">
        <w:t xml:space="preserve">Website: </w:t>
      </w:r>
      <w:hyperlink r:id="rId19" w:history="1">
        <w:r w:rsidR="0032463A" w:rsidRPr="00641FBB">
          <w:rPr>
            <w:rStyle w:val="Hyperlink"/>
          </w:rPr>
          <w:t>http://www.ohchr.org/en/hrbodies/cedaw/pages/cedawindex.aspx</w:t>
        </w:r>
      </w:hyperlink>
    </w:p>
    <w:p w14:paraId="127E4934" w14:textId="5C109839" w:rsidR="00EA3D21" w:rsidRPr="00641FBB" w:rsidRDefault="00A80133" w:rsidP="00F343AE">
      <w:pPr>
        <w:pStyle w:val="Heading5"/>
      </w:pPr>
      <w:r w:rsidRPr="00641FBB">
        <w:t>Individual Communications</w:t>
      </w:r>
    </w:p>
    <w:p w14:paraId="11CB0D09" w14:textId="77777777" w:rsidR="00EA3D21" w:rsidRPr="00641FBB" w:rsidRDefault="00EA3D21" w:rsidP="00EA3D21">
      <w:pPr>
        <w:pStyle w:val="NoSpacing"/>
      </w:pPr>
      <w:r w:rsidRPr="00641FBB">
        <w:t>Petitions Team</w:t>
      </w:r>
    </w:p>
    <w:p w14:paraId="35BFCE23" w14:textId="77777777" w:rsidR="00EA3D21" w:rsidRPr="00641FBB" w:rsidRDefault="00EA3D21" w:rsidP="00EA3D21">
      <w:pPr>
        <w:pStyle w:val="NoSpacing"/>
      </w:pPr>
      <w:r w:rsidRPr="00641FBB">
        <w:t>Office of the High Commissioner for Human Rights</w:t>
      </w:r>
    </w:p>
    <w:p w14:paraId="1A53F394" w14:textId="77777777" w:rsidR="00EA3D21" w:rsidRPr="00641FBB" w:rsidRDefault="00EA3D21" w:rsidP="00EA3D21">
      <w:pPr>
        <w:pStyle w:val="NoSpacing"/>
      </w:pPr>
      <w:r w:rsidRPr="00641FBB">
        <w:t>United Nations Office at Geneva</w:t>
      </w:r>
    </w:p>
    <w:p w14:paraId="21B42698" w14:textId="09A7C0E2" w:rsidR="00EA3D21" w:rsidRPr="00641FBB" w:rsidRDefault="00EA3D21" w:rsidP="00EA3D21">
      <w:pPr>
        <w:pStyle w:val="NoSpacing"/>
      </w:pPr>
      <w:r w:rsidRPr="00641FBB">
        <w:t>1211 Geneva 10</w:t>
      </w:r>
      <w:r w:rsidR="00F90350" w:rsidRPr="00641FBB">
        <w:t xml:space="preserve">, </w:t>
      </w:r>
      <w:r w:rsidR="00887631" w:rsidRPr="00641FBB">
        <w:t>Switzerland</w:t>
      </w:r>
    </w:p>
    <w:p w14:paraId="1739670B" w14:textId="77777777" w:rsidR="00EA3D21" w:rsidRPr="00641FBB" w:rsidRDefault="00EA3D21" w:rsidP="00EA3D21">
      <w:pPr>
        <w:pStyle w:val="NoSpacing"/>
      </w:pPr>
    </w:p>
    <w:p w14:paraId="1032D1F6" w14:textId="05C0E37D" w:rsidR="00EA3D21" w:rsidRPr="00641FBB" w:rsidRDefault="00EA3D21" w:rsidP="00EA3D21">
      <w:pPr>
        <w:pStyle w:val="NoSpacing"/>
      </w:pPr>
      <w:r w:rsidRPr="00641FBB">
        <w:t xml:space="preserve">Fax: + 41 </w:t>
      </w:r>
      <w:r w:rsidR="003473E0" w:rsidRPr="00641FBB">
        <w:t xml:space="preserve">(0) </w:t>
      </w:r>
      <w:r w:rsidRPr="00641FBB">
        <w:t>22 917 9022 (particularly for urgent matters)</w:t>
      </w:r>
    </w:p>
    <w:p w14:paraId="08AD905B" w14:textId="494E7834" w:rsidR="00EA3D21" w:rsidRPr="00641FBB" w:rsidRDefault="00EA3D21" w:rsidP="00EA3D21">
      <w:pPr>
        <w:pStyle w:val="NoSpacing"/>
      </w:pPr>
      <w:r w:rsidRPr="00641FBB">
        <w:t xml:space="preserve">E-mail: </w:t>
      </w:r>
      <w:hyperlink r:id="rId20" w:history="1">
        <w:r w:rsidR="00164E07" w:rsidRPr="00641FBB">
          <w:rPr>
            <w:rStyle w:val="Hyperlink"/>
          </w:rPr>
          <w:t>petitions@ohchr.org</w:t>
        </w:r>
      </w:hyperlink>
      <w:r w:rsidR="00164E07" w:rsidRPr="00641FBB">
        <w:t xml:space="preserve"> </w:t>
      </w:r>
    </w:p>
    <w:p w14:paraId="3017EB14" w14:textId="5C541E7E" w:rsidR="00EF57CF" w:rsidRPr="00641FBB" w:rsidRDefault="00EF57CF" w:rsidP="00F343AE">
      <w:pPr>
        <w:pStyle w:val="Heading3"/>
      </w:pPr>
      <w:r w:rsidRPr="00641FBB">
        <w:t>Committee on the Elimination</w:t>
      </w:r>
      <w:r w:rsidR="00A26073" w:rsidRPr="00641FBB">
        <w:t xml:space="preserve"> of Racial Discrimination</w:t>
      </w:r>
    </w:p>
    <w:p w14:paraId="20A21F28" w14:textId="77777777" w:rsidR="00EF57CF" w:rsidRPr="00641FBB" w:rsidRDefault="00EF57CF" w:rsidP="00F343AE">
      <w:pPr>
        <w:pStyle w:val="Heading4"/>
      </w:pPr>
      <w:r w:rsidRPr="00641FBB">
        <w:t>Mandate</w:t>
      </w:r>
    </w:p>
    <w:p w14:paraId="63700D0E" w14:textId="4393B3DD" w:rsidR="00A30811" w:rsidRPr="00641FBB" w:rsidRDefault="00F80F6D" w:rsidP="00EF57CF">
      <w:r w:rsidRPr="00641FBB">
        <w:t xml:space="preserve">The </w:t>
      </w:r>
      <w:r w:rsidR="00CC6B59" w:rsidRPr="00641FBB">
        <w:t>Committee on the Elimination of Racial Discrimination (</w:t>
      </w:r>
      <w:r w:rsidR="00EF57CF" w:rsidRPr="00641FBB">
        <w:t>CERD</w:t>
      </w:r>
      <w:r w:rsidR="00CC6B59" w:rsidRPr="00641FBB">
        <w:t>)</w:t>
      </w:r>
      <w:r w:rsidRPr="00641FBB">
        <w:t xml:space="preserve"> oversees </w:t>
      </w:r>
      <w:r w:rsidR="00A3289B" w:rsidRPr="00641FBB">
        <w:t>State party</w:t>
      </w:r>
      <w:r w:rsidRPr="00641FBB">
        <w:t xml:space="preserve"> compliance with the </w:t>
      </w:r>
      <w:r w:rsidR="00881E11" w:rsidRPr="00641FBB">
        <w:t>International Convention on the Elimination of All Forms of Racial Discrimination (ICERD).</w:t>
      </w:r>
      <w:r w:rsidRPr="00641FBB">
        <w:t xml:space="preserve"> </w:t>
      </w:r>
      <w:r w:rsidR="00A30811" w:rsidRPr="00641FBB">
        <w:t xml:space="preserve">The CERD issues interpretative documents on the ICERD called “general </w:t>
      </w:r>
      <w:r w:rsidR="00634DE9" w:rsidRPr="00641FBB">
        <w:t>recommendations</w:t>
      </w:r>
      <w:r w:rsidR="0032463A" w:rsidRPr="00641FBB">
        <w:t>.”</w:t>
      </w:r>
    </w:p>
    <w:p w14:paraId="0692008D" w14:textId="3B751D8B" w:rsidR="00EF57CF" w:rsidRPr="00641FBB" w:rsidRDefault="00F80F6D" w:rsidP="00EF57CF">
      <w:r w:rsidRPr="00641FBB">
        <w:t xml:space="preserve">The CERD monitors country progress in the implementation of the ICERD based on periodic reports submitted by </w:t>
      </w:r>
      <w:r w:rsidR="003208F6">
        <w:t>s</w:t>
      </w:r>
      <w:r w:rsidR="00F4325F" w:rsidRPr="00641FBB">
        <w:t>tates</w:t>
      </w:r>
      <w:r w:rsidRPr="00641FBB">
        <w:t xml:space="preserve"> that have ratified the treaty, as well as through an early warning procedure, where the CERD</w:t>
      </w:r>
      <w:r w:rsidR="00881E11" w:rsidRPr="00641FBB">
        <w:t xml:space="preserve"> </w:t>
      </w:r>
      <w:r w:rsidR="003D30A3" w:rsidRPr="00641FBB">
        <w:t>undertakes measures to prevent certain situations from escalating into conflicts or matters requiring urgent attention.  The CERD is also tasked with receiving and examining</w:t>
      </w:r>
      <w:r w:rsidR="00881E11" w:rsidRPr="00641FBB">
        <w:t xml:space="preserve"> inter</w:t>
      </w:r>
      <w:r w:rsidR="003D30A3" w:rsidRPr="00641FBB">
        <w:t>-</w:t>
      </w:r>
      <w:r w:rsidR="00881E11" w:rsidRPr="00641FBB">
        <w:t>state</w:t>
      </w:r>
      <w:r w:rsidR="002A42B0" w:rsidRPr="00641FBB">
        <w:t xml:space="preserve"> complaints of human rights violations, as well as</w:t>
      </w:r>
      <w:r w:rsidR="00881E11" w:rsidRPr="00641FBB">
        <w:t xml:space="preserve"> individual complaints</w:t>
      </w:r>
      <w:r w:rsidR="003D30A3" w:rsidRPr="00641FBB">
        <w:t xml:space="preserve"> </w:t>
      </w:r>
      <w:r w:rsidR="002A42B0" w:rsidRPr="00641FBB">
        <w:t>against</w:t>
      </w:r>
      <w:r w:rsidR="003D30A3" w:rsidRPr="00641FBB">
        <w:t xml:space="preserve"> </w:t>
      </w:r>
      <w:r w:rsidR="003208F6">
        <w:t>s</w:t>
      </w:r>
      <w:r w:rsidR="00F4325F" w:rsidRPr="00641FBB">
        <w:t>tates</w:t>
      </w:r>
      <w:r w:rsidR="003D30A3" w:rsidRPr="00641FBB">
        <w:t xml:space="preserve"> that have </w:t>
      </w:r>
      <w:r w:rsidR="002A42B0" w:rsidRPr="00641FBB">
        <w:t>expressly recognized the CERD’s competence to examine individual complaints (under article 14 of</w:t>
      </w:r>
      <w:r w:rsidR="003D30A3" w:rsidRPr="00641FBB">
        <w:t xml:space="preserve"> the ICERD</w:t>
      </w:r>
      <w:r w:rsidR="002A42B0" w:rsidRPr="00641FBB">
        <w:t>)</w:t>
      </w:r>
      <w:r w:rsidR="00881E11" w:rsidRPr="00641FBB">
        <w:t>.</w:t>
      </w:r>
    </w:p>
    <w:p w14:paraId="6DB41F79" w14:textId="3DCEB831" w:rsidR="00E52AB1" w:rsidRPr="00641FBB" w:rsidRDefault="00E52AB1" w:rsidP="00EF57CF">
      <w:r w:rsidRPr="00641FBB">
        <w:t xml:space="preserve">Under the periodic reporting procedure, </w:t>
      </w:r>
      <w:r w:rsidR="00A3289B" w:rsidRPr="00641FBB">
        <w:t>States parties</w:t>
      </w:r>
      <w:r w:rsidR="00A26073" w:rsidRPr="00641FBB">
        <w:t xml:space="preserve"> must report to the CERD one year after ratifying the ICERD and every two years thereafter. Once a </w:t>
      </w:r>
      <w:r w:rsidR="00A3289B" w:rsidRPr="00641FBB">
        <w:t>State party</w:t>
      </w:r>
      <w:r w:rsidR="00A26073" w:rsidRPr="00641FBB">
        <w:t xml:space="preserve"> submits its report, </w:t>
      </w:r>
      <w:r w:rsidRPr="00641FBB">
        <w:t xml:space="preserve">the CERD examines </w:t>
      </w:r>
      <w:r w:rsidR="00A26073" w:rsidRPr="00641FBB">
        <w:t xml:space="preserve">the report and issues “concluding observations,” </w:t>
      </w:r>
      <w:r w:rsidR="007F11A5" w:rsidRPr="00641FBB">
        <w:t xml:space="preserve">providing its concerns and recommendations to the </w:t>
      </w:r>
      <w:r w:rsidR="003208F6">
        <w:t>s</w:t>
      </w:r>
      <w:r w:rsidR="00F4325F" w:rsidRPr="00641FBB">
        <w:t>tate</w:t>
      </w:r>
      <w:r w:rsidR="007F11A5" w:rsidRPr="00641FBB">
        <w:t xml:space="preserve"> on the implementation of the treaty</w:t>
      </w:r>
      <w:r w:rsidR="00A26073" w:rsidRPr="00641FBB">
        <w:t xml:space="preserve">. </w:t>
      </w:r>
    </w:p>
    <w:p w14:paraId="37801C39" w14:textId="2C03D0E5" w:rsidR="00A308EA" w:rsidRPr="00641FBB" w:rsidRDefault="00A308EA" w:rsidP="00EF57CF">
      <w:r w:rsidRPr="00641FBB">
        <w:t>The CERD meets twice per year.</w:t>
      </w:r>
    </w:p>
    <w:p w14:paraId="2A2BCB7C" w14:textId="77777777" w:rsidR="00881E11" w:rsidRPr="00641FBB" w:rsidRDefault="00881E11" w:rsidP="00F343AE">
      <w:pPr>
        <w:pStyle w:val="Heading4"/>
      </w:pPr>
      <w:r w:rsidRPr="00641FBB">
        <w:t>Civil Society Participation</w:t>
      </w:r>
    </w:p>
    <w:p w14:paraId="6D2A189B" w14:textId="60BF4DD8" w:rsidR="00881E11" w:rsidRPr="00276ED6" w:rsidRDefault="00A308EA" w:rsidP="00881E11">
      <w:r w:rsidRPr="00641FBB">
        <w:t xml:space="preserve">As part of the periodic reporting procedure, </w:t>
      </w:r>
      <w:r w:rsidR="00881E11" w:rsidRPr="00641FBB">
        <w:t>NGOs can submit “</w:t>
      </w:r>
      <w:r w:rsidR="0019711B" w:rsidRPr="00641FBB">
        <w:t>alternative</w:t>
      </w:r>
      <w:r w:rsidR="00881E11" w:rsidRPr="00641FBB">
        <w:t xml:space="preserve"> reports” to CERD on any aspect of a </w:t>
      </w:r>
      <w:r w:rsidR="00A3289B" w:rsidRPr="00641FBB">
        <w:t>State party</w:t>
      </w:r>
      <w:r w:rsidR="00F4325F" w:rsidRPr="00641FBB">
        <w:t>’s</w:t>
      </w:r>
      <w:r w:rsidR="00881E11" w:rsidRPr="00641FBB">
        <w:t xml:space="preserve"> compliance with ICERD. Shadow reports should be submitted through the CERD Secretariat based at the Office of the High Commissioner for Human Rights in Geneva, which also maintains a calendar of when </w:t>
      </w:r>
      <w:r w:rsidR="00A3289B" w:rsidRPr="00641FBB">
        <w:t>States parties</w:t>
      </w:r>
      <w:r w:rsidR="00881E11" w:rsidRPr="00641FBB">
        <w:t xml:space="preserve"> come before the </w:t>
      </w:r>
      <w:r w:rsidRPr="00641FBB">
        <w:t>CERD</w:t>
      </w:r>
      <w:r w:rsidR="00881E11" w:rsidRPr="00641FBB">
        <w:t>.</w:t>
      </w:r>
      <w:r w:rsidR="0032463A" w:rsidRPr="00641FBB">
        <w:t xml:space="preserve"> </w:t>
      </w:r>
      <w:r w:rsidR="0032463A" w:rsidRPr="00276ED6">
        <w:t>See “Participation in the work of the Committee” on the CERD’s website.</w:t>
      </w:r>
    </w:p>
    <w:p w14:paraId="4A721B6F" w14:textId="262E327D" w:rsidR="0019711B" w:rsidRPr="00641FBB" w:rsidRDefault="0019711B" w:rsidP="00881E11">
      <w:r w:rsidRPr="00641FBB">
        <w:t>Organizations may attend a CERD session</w:t>
      </w:r>
      <w:r w:rsidR="00177435" w:rsidRPr="00641FBB">
        <w:t xml:space="preserve"> as observers</w:t>
      </w:r>
      <w:r w:rsidRPr="00641FBB">
        <w:t xml:space="preserve">. </w:t>
      </w:r>
      <w:r w:rsidR="00177435" w:rsidRPr="00641FBB">
        <w:t xml:space="preserve">Organizations may participate in the informal pre-session meetings with NGOs held at the beginning of each week during the CERD’s session. Here, NGOs can provide information on the countries being reviewed that week. NGOs may also organize informal lunchtime briefings with the Committee. </w:t>
      </w:r>
      <w:r w:rsidRPr="00641FBB">
        <w:t xml:space="preserve">To </w:t>
      </w:r>
      <w:r w:rsidR="00177435" w:rsidRPr="00641FBB">
        <w:t>engage in any of these activities</w:t>
      </w:r>
      <w:r w:rsidRPr="00641FBB">
        <w:t>, they must complete and file an “accreditation request form” </w:t>
      </w:r>
      <w:r w:rsidR="00177435" w:rsidRPr="00641FBB">
        <w:t>in advance.</w:t>
      </w:r>
    </w:p>
    <w:p w14:paraId="394F3F31" w14:textId="5D1E734D" w:rsidR="00881E11" w:rsidRPr="00B32315" w:rsidRDefault="00881E11" w:rsidP="00881E11">
      <w:pPr>
        <w:rPr>
          <w:color w:val="FF0000"/>
        </w:rPr>
      </w:pPr>
      <w:r w:rsidRPr="00641FBB">
        <w:t xml:space="preserve">CERD may </w:t>
      </w:r>
      <w:r w:rsidR="00164E07" w:rsidRPr="00641FBB">
        <w:t xml:space="preserve">also </w:t>
      </w:r>
      <w:r w:rsidRPr="00641FBB">
        <w:t xml:space="preserve">consider individual complaints </w:t>
      </w:r>
      <w:r w:rsidR="00164E07" w:rsidRPr="00641FBB">
        <w:t xml:space="preserve">of human rights violations allegedly committed by </w:t>
      </w:r>
      <w:r w:rsidR="003208F6">
        <w:t>s</w:t>
      </w:r>
      <w:r w:rsidR="00F4325F" w:rsidRPr="00641FBB">
        <w:t>tates</w:t>
      </w:r>
      <w:r w:rsidR="00164E07" w:rsidRPr="00641FBB">
        <w:t xml:space="preserve"> that</w:t>
      </w:r>
      <w:r w:rsidRPr="00641FBB">
        <w:t xml:space="preserve"> have made the necessary declaration </w:t>
      </w:r>
      <w:r w:rsidR="007F11A5" w:rsidRPr="00641FBB">
        <w:t>under article 14 of the ICERD</w:t>
      </w:r>
      <w:r w:rsidRPr="00641FBB">
        <w:t xml:space="preserve">. </w:t>
      </w:r>
      <w:r w:rsidR="0032463A" w:rsidRPr="00276ED6">
        <w:t>See ‘Complaints procedure’ on the CERD’s website.</w:t>
      </w:r>
    </w:p>
    <w:p w14:paraId="30381801" w14:textId="77777777" w:rsidR="00881E11" w:rsidRPr="00641FBB" w:rsidRDefault="00881E11" w:rsidP="00F343AE">
      <w:pPr>
        <w:pStyle w:val="Heading4"/>
      </w:pPr>
      <w:r w:rsidRPr="00641FBB">
        <w:t>Contact Information</w:t>
      </w:r>
    </w:p>
    <w:p w14:paraId="72FDA76A" w14:textId="77777777" w:rsidR="00881E11" w:rsidRPr="00641FBB" w:rsidRDefault="00881E11" w:rsidP="00F343AE">
      <w:pPr>
        <w:pStyle w:val="Heading5"/>
      </w:pPr>
      <w:r w:rsidRPr="00641FBB">
        <w:t>Secretariat</w:t>
      </w:r>
    </w:p>
    <w:p w14:paraId="080C9189" w14:textId="77777777" w:rsidR="00881E11" w:rsidRPr="00641FBB" w:rsidRDefault="00881E11" w:rsidP="00881E11">
      <w:pPr>
        <w:pStyle w:val="NoSpacing"/>
      </w:pPr>
      <w:r w:rsidRPr="00641FBB">
        <w:t>Committee on the Elimination of Racial Discrimination (CERD)</w:t>
      </w:r>
    </w:p>
    <w:p w14:paraId="6537EA57" w14:textId="77777777" w:rsidR="00881E11" w:rsidRPr="00641FBB" w:rsidRDefault="00881E11" w:rsidP="00881E11">
      <w:pPr>
        <w:pStyle w:val="NoSpacing"/>
      </w:pPr>
      <w:r w:rsidRPr="00641FBB">
        <w:t>Human Rights Treaties Division (HRTD)</w:t>
      </w:r>
    </w:p>
    <w:p w14:paraId="2D2606F0" w14:textId="77777777" w:rsidR="00881E11" w:rsidRPr="00641FBB" w:rsidRDefault="00881E11" w:rsidP="00881E11">
      <w:pPr>
        <w:pStyle w:val="NoSpacing"/>
      </w:pPr>
      <w:r w:rsidRPr="00641FBB">
        <w:t>Office of the United Nations High Commissioner for Human Rights (OHCHR)</w:t>
      </w:r>
    </w:p>
    <w:p w14:paraId="26E4FE47" w14:textId="77777777" w:rsidR="00881E11" w:rsidRPr="00641FBB" w:rsidRDefault="00881E11" w:rsidP="00881E11">
      <w:pPr>
        <w:pStyle w:val="NoSpacing"/>
      </w:pPr>
      <w:r w:rsidRPr="00641FBB">
        <w:t>Palais Wilson - 52, rue des Pâquis</w:t>
      </w:r>
    </w:p>
    <w:p w14:paraId="39FBC282" w14:textId="6FFC4F81" w:rsidR="00881E11" w:rsidRPr="00641FBB" w:rsidRDefault="00A26073" w:rsidP="00881E11">
      <w:pPr>
        <w:pStyle w:val="NoSpacing"/>
      </w:pPr>
      <w:r w:rsidRPr="00641FBB">
        <w:t>CH-1201 Geneva, Switzerland</w:t>
      </w:r>
    </w:p>
    <w:p w14:paraId="0A61D178" w14:textId="77777777" w:rsidR="00881E11" w:rsidRPr="00641FBB" w:rsidRDefault="00881E11" w:rsidP="00881E11">
      <w:pPr>
        <w:pStyle w:val="NoSpacing"/>
      </w:pPr>
    </w:p>
    <w:p w14:paraId="65AD8CB5" w14:textId="32189729" w:rsidR="00881E11" w:rsidRPr="00641FBB" w:rsidRDefault="00881E11" w:rsidP="00A26073">
      <w:pPr>
        <w:pStyle w:val="NoSpacing"/>
        <w:rPr>
          <w:b/>
        </w:rPr>
      </w:pPr>
      <w:r w:rsidRPr="00641FBB">
        <w:t>Mailing address</w:t>
      </w:r>
      <w:r w:rsidR="00A26073" w:rsidRPr="00641FBB">
        <w:t>:</w:t>
      </w:r>
    </w:p>
    <w:p w14:paraId="4DFBEAB9" w14:textId="77777777" w:rsidR="00881E11" w:rsidRPr="00331FAD" w:rsidRDefault="00881E11" w:rsidP="00881E11">
      <w:pPr>
        <w:pStyle w:val="NoSpacing"/>
        <w:rPr>
          <w:lang w:val="de-AT"/>
        </w:rPr>
      </w:pPr>
      <w:r w:rsidRPr="00331FAD">
        <w:rPr>
          <w:lang w:val="de-AT"/>
        </w:rPr>
        <w:t>UNOG-OHCHR</w:t>
      </w:r>
    </w:p>
    <w:p w14:paraId="5468956B" w14:textId="7E020B9A" w:rsidR="00881E11" w:rsidRPr="00331FAD" w:rsidRDefault="00881E11" w:rsidP="00881E11">
      <w:pPr>
        <w:pStyle w:val="NoSpacing"/>
        <w:rPr>
          <w:lang w:val="de-AT"/>
        </w:rPr>
      </w:pPr>
      <w:r w:rsidRPr="00331FAD">
        <w:rPr>
          <w:lang w:val="de-AT"/>
        </w:rPr>
        <w:t>CH-1211 Geneva 10</w:t>
      </w:r>
      <w:r w:rsidR="00A26073" w:rsidRPr="00331FAD">
        <w:rPr>
          <w:lang w:val="de-AT"/>
        </w:rPr>
        <w:t>, Switzerland</w:t>
      </w:r>
    </w:p>
    <w:p w14:paraId="4B391E62" w14:textId="77777777" w:rsidR="00881E11" w:rsidRPr="00331FAD" w:rsidRDefault="00881E11" w:rsidP="00881E11">
      <w:pPr>
        <w:pStyle w:val="NoSpacing"/>
        <w:rPr>
          <w:lang w:val="de-AT"/>
        </w:rPr>
      </w:pPr>
    </w:p>
    <w:p w14:paraId="694F80BF" w14:textId="53E3DF5E" w:rsidR="00881E11" w:rsidRPr="00331FAD" w:rsidRDefault="00881E11" w:rsidP="00881E11">
      <w:pPr>
        <w:pStyle w:val="NoSpacing"/>
        <w:rPr>
          <w:lang w:val="de-AT"/>
        </w:rPr>
      </w:pPr>
      <w:r w:rsidRPr="00331FAD">
        <w:rPr>
          <w:lang w:val="de-AT"/>
        </w:rPr>
        <w:t xml:space="preserve">Tel.: +41 </w:t>
      </w:r>
      <w:r w:rsidR="003473E0" w:rsidRPr="00331FAD">
        <w:rPr>
          <w:lang w:val="de-AT"/>
        </w:rPr>
        <w:t xml:space="preserve">(0) </w:t>
      </w:r>
      <w:r w:rsidRPr="00331FAD">
        <w:rPr>
          <w:lang w:val="de-AT"/>
        </w:rPr>
        <w:t>22 917 94 40</w:t>
      </w:r>
    </w:p>
    <w:p w14:paraId="2A0B15DA" w14:textId="67FCF263" w:rsidR="00881E11" w:rsidRPr="00331FAD" w:rsidRDefault="00881E11" w:rsidP="00881E11">
      <w:pPr>
        <w:pStyle w:val="NoSpacing"/>
        <w:rPr>
          <w:lang w:val="de-AT"/>
        </w:rPr>
      </w:pPr>
      <w:r w:rsidRPr="00331FAD">
        <w:rPr>
          <w:lang w:val="de-AT"/>
        </w:rPr>
        <w:t xml:space="preserve">Fax: +41 </w:t>
      </w:r>
      <w:r w:rsidR="003473E0" w:rsidRPr="00331FAD">
        <w:rPr>
          <w:lang w:val="de-AT"/>
        </w:rPr>
        <w:t xml:space="preserve">(0) </w:t>
      </w:r>
      <w:r w:rsidRPr="00331FAD">
        <w:rPr>
          <w:lang w:val="de-AT"/>
        </w:rPr>
        <w:t>22 917 90 08</w:t>
      </w:r>
    </w:p>
    <w:p w14:paraId="06520658" w14:textId="77777777" w:rsidR="00881E11" w:rsidRPr="00331FAD" w:rsidRDefault="00881E11" w:rsidP="00881E11">
      <w:pPr>
        <w:pStyle w:val="NoSpacing"/>
        <w:rPr>
          <w:lang w:val="de-AT"/>
        </w:rPr>
      </w:pPr>
      <w:r w:rsidRPr="00331FAD">
        <w:rPr>
          <w:lang w:val="de-AT"/>
        </w:rPr>
        <w:t xml:space="preserve">E-mail:  </w:t>
      </w:r>
      <w:hyperlink r:id="rId21" w:history="1">
        <w:r w:rsidRPr="00331FAD">
          <w:rPr>
            <w:rStyle w:val="Hyperlink"/>
            <w:lang w:val="de-AT"/>
          </w:rPr>
          <w:t>cerd@ohchr.org</w:t>
        </w:r>
      </w:hyperlink>
    </w:p>
    <w:p w14:paraId="49C71730" w14:textId="3A20A443" w:rsidR="00881E11" w:rsidRPr="00641FBB" w:rsidRDefault="00881E11" w:rsidP="00881E11">
      <w:pPr>
        <w:pStyle w:val="NoSpacing"/>
      </w:pPr>
      <w:r w:rsidRPr="00641FBB">
        <w:t xml:space="preserve">Website: </w:t>
      </w:r>
      <w:hyperlink r:id="rId22" w:history="1">
        <w:r w:rsidR="00177435" w:rsidRPr="00641FBB">
          <w:rPr>
            <w:rStyle w:val="Hyperlink"/>
          </w:rPr>
          <w:t>http://www.ohchr.org/EN/HRBodies/CERD/Pages/CERDIndex.aspx</w:t>
        </w:r>
      </w:hyperlink>
    </w:p>
    <w:p w14:paraId="75D17C01" w14:textId="6795964B" w:rsidR="00881E11" w:rsidRPr="00641FBB" w:rsidRDefault="00A80133" w:rsidP="00F343AE">
      <w:pPr>
        <w:pStyle w:val="Heading5"/>
      </w:pPr>
      <w:r w:rsidRPr="00641FBB">
        <w:t>Individual Communications</w:t>
      </w:r>
    </w:p>
    <w:p w14:paraId="008F1DF7" w14:textId="77777777" w:rsidR="00881E11" w:rsidRPr="00641FBB" w:rsidRDefault="00881E11" w:rsidP="00881E11">
      <w:pPr>
        <w:pStyle w:val="NoSpacing"/>
      </w:pPr>
      <w:r w:rsidRPr="00641FBB">
        <w:t>Petitions Team</w:t>
      </w:r>
    </w:p>
    <w:p w14:paraId="0D7D39EA" w14:textId="77777777" w:rsidR="00881E11" w:rsidRPr="00641FBB" w:rsidRDefault="00881E11" w:rsidP="00881E11">
      <w:pPr>
        <w:pStyle w:val="NoSpacing"/>
      </w:pPr>
      <w:r w:rsidRPr="00641FBB">
        <w:t>Office of the High Commissioner for Human Rights</w:t>
      </w:r>
    </w:p>
    <w:p w14:paraId="18238DCB" w14:textId="77777777" w:rsidR="00881E11" w:rsidRPr="00641FBB" w:rsidRDefault="00881E11" w:rsidP="00881E11">
      <w:pPr>
        <w:pStyle w:val="NoSpacing"/>
      </w:pPr>
      <w:r w:rsidRPr="00641FBB">
        <w:t>United Nations Office at Geneva</w:t>
      </w:r>
    </w:p>
    <w:p w14:paraId="2703642D" w14:textId="18B0959E" w:rsidR="00881E11" w:rsidRPr="00641FBB" w:rsidRDefault="00707732" w:rsidP="00881E11">
      <w:pPr>
        <w:pStyle w:val="NoSpacing"/>
      </w:pPr>
      <w:r w:rsidRPr="00641FBB">
        <w:t>1211 Geneva 10, Switzerland</w:t>
      </w:r>
    </w:p>
    <w:p w14:paraId="4826CFC0" w14:textId="77777777" w:rsidR="00881E11" w:rsidRPr="00641FBB" w:rsidRDefault="00881E11" w:rsidP="00881E11">
      <w:pPr>
        <w:pStyle w:val="NoSpacing"/>
      </w:pPr>
    </w:p>
    <w:p w14:paraId="13FCE031" w14:textId="6DEBA69D" w:rsidR="00881E11" w:rsidRPr="00641FBB" w:rsidRDefault="00881E11" w:rsidP="00881E11">
      <w:pPr>
        <w:pStyle w:val="NoSpacing"/>
      </w:pPr>
      <w:r w:rsidRPr="00641FBB">
        <w:t xml:space="preserve">Fax: + 41 </w:t>
      </w:r>
      <w:r w:rsidR="003473E0" w:rsidRPr="00641FBB">
        <w:t xml:space="preserve">(0) </w:t>
      </w:r>
      <w:r w:rsidRPr="00641FBB">
        <w:t xml:space="preserve">22 917 9022 (particularly for urgent matters) </w:t>
      </w:r>
    </w:p>
    <w:p w14:paraId="67317517" w14:textId="77777777" w:rsidR="00881E11" w:rsidRPr="00641FBB" w:rsidRDefault="00881E11" w:rsidP="00881E11">
      <w:pPr>
        <w:pStyle w:val="NoSpacing"/>
        <w:rPr>
          <w:rStyle w:val="Hyperlink"/>
        </w:rPr>
      </w:pPr>
      <w:r w:rsidRPr="00641FBB">
        <w:t xml:space="preserve">E-mail:  </w:t>
      </w:r>
      <w:hyperlink r:id="rId23" w:history="1">
        <w:r w:rsidRPr="00641FBB">
          <w:rPr>
            <w:rStyle w:val="Hyperlink"/>
          </w:rPr>
          <w:t>petitions@ohchr.org</w:t>
        </w:r>
      </w:hyperlink>
    </w:p>
    <w:p w14:paraId="0842D658" w14:textId="77777777" w:rsidR="008C197C" w:rsidRPr="00641FBB" w:rsidRDefault="008C197C" w:rsidP="00881E11">
      <w:pPr>
        <w:pStyle w:val="NoSpacing"/>
        <w:rPr>
          <w:rStyle w:val="Hyperlink"/>
        </w:rPr>
      </w:pPr>
    </w:p>
    <w:p w14:paraId="4722E171" w14:textId="6457E9D1" w:rsidR="008C197C" w:rsidRPr="00641FBB" w:rsidRDefault="008C197C" w:rsidP="00F343AE">
      <w:pPr>
        <w:pStyle w:val="Heading3"/>
      </w:pPr>
      <w:r w:rsidRPr="00641FBB">
        <w:t>Committee on the Protection of the Rights of All Migrant Workers and Members of Their Families</w:t>
      </w:r>
    </w:p>
    <w:p w14:paraId="202F9434" w14:textId="77777777" w:rsidR="008C197C" w:rsidRPr="00641FBB" w:rsidRDefault="008C197C" w:rsidP="00F343AE">
      <w:pPr>
        <w:pStyle w:val="Heading4"/>
      </w:pPr>
      <w:r w:rsidRPr="00641FBB">
        <w:t>Mandate</w:t>
      </w:r>
    </w:p>
    <w:p w14:paraId="0D715E6C" w14:textId="02FA0731" w:rsidR="00634DE9" w:rsidRPr="00641FBB" w:rsidRDefault="008C197C" w:rsidP="008C197C">
      <w:r w:rsidRPr="00641FBB">
        <w:t xml:space="preserve">The Committee on the Protection of the Rights of All Migrant Workers and Members of Their Families (CMW) monitors the implementation of the International Convention of the Protection of the Rights of All Migrant Workers and their Families (ICMW).  </w:t>
      </w:r>
      <w:r w:rsidR="00634DE9" w:rsidRPr="00641FBB">
        <w:t xml:space="preserve">The CMW issues interpretative documents on the ICMW called “general </w:t>
      </w:r>
      <w:r w:rsidR="00A61BDF" w:rsidRPr="00641FBB">
        <w:t>comments</w:t>
      </w:r>
      <w:r w:rsidR="00177435" w:rsidRPr="00641FBB">
        <w:t>.”</w:t>
      </w:r>
    </w:p>
    <w:p w14:paraId="5C5554CC" w14:textId="79749D9B" w:rsidR="008C197C" w:rsidRPr="00641FBB" w:rsidRDefault="008C197C" w:rsidP="008C197C">
      <w:r w:rsidRPr="00641FBB">
        <w:t xml:space="preserve">The </w:t>
      </w:r>
      <w:r w:rsidR="006D4789" w:rsidRPr="00641FBB">
        <w:t>CMW</w:t>
      </w:r>
      <w:r w:rsidRPr="00641FBB">
        <w:t xml:space="preserve"> monitors progress in the implementation of the </w:t>
      </w:r>
      <w:r w:rsidR="007F11A5" w:rsidRPr="00641FBB">
        <w:t>ICMW</w:t>
      </w:r>
      <w:r w:rsidRPr="00641FBB">
        <w:t xml:space="preserve"> based on periodic reports submitted by </w:t>
      </w:r>
      <w:r w:rsidR="003208F6">
        <w:t>s</w:t>
      </w:r>
      <w:r w:rsidR="00F4325F" w:rsidRPr="00641FBB">
        <w:t>tates</w:t>
      </w:r>
      <w:r w:rsidRPr="00641FBB">
        <w:t xml:space="preserve"> that have ratified the treaty</w:t>
      </w:r>
      <w:r w:rsidR="006D4789" w:rsidRPr="00641FBB">
        <w:t xml:space="preserve">. </w:t>
      </w:r>
      <w:r w:rsidR="00F5333D" w:rsidRPr="00641FBB">
        <w:t xml:space="preserve">As part of the periodic reporting procedure, </w:t>
      </w:r>
      <w:r w:rsidR="00A3289B" w:rsidRPr="00641FBB">
        <w:t>States parties</w:t>
      </w:r>
      <w:r w:rsidR="00F5333D" w:rsidRPr="00641FBB">
        <w:t xml:space="preserve"> must report to the </w:t>
      </w:r>
      <w:r w:rsidR="00634DE9" w:rsidRPr="00641FBB">
        <w:t xml:space="preserve">CMW </w:t>
      </w:r>
      <w:r w:rsidRPr="00641FBB">
        <w:t xml:space="preserve">one year after ratifying the </w:t>
      </w:r>
      <w:r w:rsidR="00F5333D" w:rsidRPr="00641FBB">
        <w:t>ICMW</w:t>
      </w:r>
      <w:r w:rsidRPr="00641FBB">
        <w:t xml:space="preserve">, and then every five years. </w:t>
      </w:r>
      <w:r w:rsidR="00F5333D" w:rsidRPr="00641FBB">
        <w:t xml:space="preserve">Once the </w:t>
      </w:r>
      <w:r w:rsidR="00A3289B" w:rsidRPr="00641FBB">
        <w:t>State party</w:t>
      </w:r>
      <w:r w:rsidR="00F5333D" w:rsidRPr="00641FBB">
        <w:t xml:space="preserve"> submits its report, the </w:t>
      </w:r>
      <w:r w:rsidR="00634DE9" w:rsidRPr="00641FBB">
        <w:t>CMW</w:t>
      </w:r>
      <w:r w:rsidR="00F5333D" w:rsidRPr="00641FBB">
        <w:t xml:space="preserve"> examines it and issues “concluding observations,” providing its concerns and recommendations to the </w:t>
      </w:r>
      <w:r w:rsidR="00F4325F" w:rsidRPr="00641FBB">
        <w:t>state</w:t>
      </w:r>
      <w:r w:rsidR="00F5333D" w:rsidRPr="00641FBB">
        <w:t xml:space="preserve"> on the implementation of the treaty</w:t>
      </w:r>
      <w:r w:rsidRPr="00641FBB">
        <w:t xml:space="preserve">. </w:t>
      </w:r>
    </w:p>
    <w:p w14:paraId="50A30201" w14:textId="737B416A" w:rsidR="008C197C" w:rsidRPr="00641FBB" w:rsidRDefault="008C197C" w:rsidP="008C197C">
      <w:r w:rsidRPr="00641FBB">
        <w:t xml:space="preserve">The CMW currently does not have competence to consider individual complaints. </w:t>
      </w:r>
      <w:r w:rsidR="001C255D" w:rsidRPr="00641FBB">
        <w:t>T</w:t>
      </w:r>
      <w:r w:rsidRPr="00641FBB">
        <w:t xml:space="preserve">he optional protocol to the </w:t>
      </w:r>
      <w:r w:rsidR="001C255D" w:rsidRPr="00641FBB">
        <w:t>I</w:t>
      </w:r>
      <w:r w:rsidRPr="00641FBB">
        <w:t>CMW granting the Committee this power opened for signature in 2012, but as</w:t>
      </w:r>
      <w:r w:rsidR="00A61BDF" w:rsidRPr="00641FBB">
        <w:t xml:space="preserve"> of this writing</w:t>
      </w:r>
      <w:r w:rsidR="001C255D" w:rsidRPr="00641FBB">
        <w:t xml:space="preserve"> had</w:t>
      </w:r>
      <w:r w:rsidRPr="00641FBB">
        <w:t xml:space="preserve"> not yet acquired the 10 ratifications needed for the individual complaint mechanism to enter into force.</w:t>
      </w:r>
    </w:p>
    <w:p w14:paraId="1890CFC9" w14:textId="77777777" w:rsidR="008C197C" w:rsidRPr="00641FBB" w:rsidRDefault="008C197C" w:rsidP="008C197C">
      <w:r w:rsidRPr="00641FBB">
        <w:t>The CMW Committee meets twice per year.</w:t>
      </w:r>
    </w:p>
    <w:p w14:paraId="06800952" w14:textId="77777777" w:rsidR="008C197C" w:rsidRPr="00641FBB" w:rsidRDefault="008C197C" w:rsidP="00F343AE">
      <w:pPr>
        <w:pStyle w:val="Heading4"/>
      </w:pPr>
      <w:r w:rsidRPr="00641FBB">
        <w:t>Civil Society Participation</w:t>
      </w:r>
    </w:p>
    <w:p w14:paraId="012FB904" w14:textId="4CAE0924" w:rsidR="008C197C" w:rsidRPr="00641FBB" w:rsidRDefault="008C197C" w:rsidP="008C197C">
      <w:r w:rsidRPr="00641FBB">
        <w:t>As part of the periodic reporting procedure, NGOs can submit “</w:t>
      </w:r>
      <w:r w:rsidR="001315CD" w:rsidRPr="00641FBB">
        <w:t>written submissions</w:t>
      </w:r>
      <w:r w:rsidRPr="00641FBB">
        <w:t>”</w:t>
      </w:r>
      <w:r w:rsidR="001315CD" w:rsidRPr="00641FBB">
        <w:t xml:space="preserve"> (i.e., alternative reports)</w:t>
      </w:r>
      <w:r w:rsidRPr="00641FBB">
        <w:t xml:space="preserve"> to the CMW Committee on any aspect of a </w:t>
      </w:r>
      <w:r w:rsidR="00A3289B" w:rsidRPr="00641FBB">
        <w:t>State party</w:t>
      </w:r>
      <w:r w:rsidR="00F4325F" w:rsidRPr="00641FBB">
        <w:t>’s</w:t>
      </w:r>
      <w:r w:rsidRPr="00641FBB">
        <w:t xml:space="preserve"> compliance with the </w:t>
      </w:r>
      <w:r w:rsidR="00F5333D" w:rsidRPr="00641FBB">
        <w:t>ICMW</w:t>
      </w:r>
      <w:r w:rsidRPr="00641FBB">
        <w:t xml:space="preserve">. </w:t>
      </w:r>
      <w:r w:rsidR="001315CD" w:rsidRPr="00641FBB">
        <w:t>Written submissions</w:t>
      </w:r>
      <w:r w:rsidRPr="00641FBB">
        <w:t xml:space="preserve"> should be submitted through the CMW Secretariat at the Office of the High Commi</w:t>
      </w:r>
      <w:r w:rsidR="004D59E2" w:rsidRPr="00641FBB">
        <w:t>ssioner for Human Rights</w:t>
      </w:r>
      <w:r w:rsidRPr="00641FBB">
        <w:t xml:space="preserve"> in Geneva, which also maintains a calendar of when </w:t>
      </w:r>
      <w:r w:rsidR="00A3289B" w:rsidRPr="00641FBB">
        <w:t>States parties</w:t>
      </w:r>
      <w:r w:rsidRPr="00641FBB">
        <w:t xml:space="preserve"> come before the CMW Committee. </w:t>
      </w:r>
    </w:p>
    <w:p w14:paraId="15BA2E00" w14:textId="0C868274" w:rsidR="00177435" w:rsidRPr="00641FBB" w:rsidRDefault="00177435" w:rsidP="008C197C">
      <w:r w:rsidRPr="00641FBB">
        <w:t xml:space="preserve">Organizations may attend a </w:t>
      </w:r>
      <w:r w:rsidR="001315CD" w:rsidRPr="00641FBB">
        <w:t>CMW</w:t>
      </w:r>
      <w:r w:rsidRPr="00641FBB">
        <w:t xml:space="preserve"> session as observers. </w:t>
      </w:r>
      <w:r w:rsidR="001315CD" w:rsidRPr="00641FBB">
        <w:t>They may also present oral briefings before the Committee at public and/or informal meetings held during the session. To engage in any of these activities, they must complete and file an “accreditation request form” in advance</w:t>
      </w:r>
      <w:r w:rsidRPr="00641FBB">
        <w:t>.</w:t>
      </w:r>
    </w:p>
    <w:p w14:paraId="1F475025" w14:textId="47156B1B" w:rsidR="001315CD" w:rsidRPr="00641FBB" w:rsidRDefault="001315CD" w:rsidP="008C197C">
      <w:r w:rsidRPr="00641FBB">
        <w:t>The individual complaint mechanism for the CMW has not yet entered into force.</w:t>
      </w:r>
    </w:p>
    <w:p w14:paraId="1ED9896D" w14:textId="77777777" w:rsidR="008C197C" w:rsidRPr="00641FBB" w:rsidRDefault="008C197C" w:rsidP="00F343AE">
      <w:pPr>
        <w:pStyle w:val="Heading4"/>
      </w:pPr>
      <w:r w:rsidRPr="00641FBB">
        <w:t>Contact Information</w:t>
      </w:r>
    </w:p>
    <w:p w14:paraId="1A79CC34" w14:textId="77777777" w:rsidR="008C197C" w:rsidRPr="00641FBB" w:rsidRDefault="008C197C" w:rsidP="00F343AE">
      <w:pPr>
        <w:pStyle w:val="Heading5"/>
        <w:rPr>
          <w:rStyle w:val="Strong"/>
          <w:rFonts w:asciiTheme="majorHAnsi" w:eastAsiaTheme="majorEastAsia" w:hAnsiTheme="majorHAnsi" w:cstheme="majorBidi"/>
          <w:color w:val="243F60" w:themeColor="accent1" w:themeShade="7F"/>
        </w:rPr>
      </w:pPr>
      <w:r w:rsidRPr="00641FBB">
        <w:t>Secretariat</w:t>
      </w:r>
    </w:p>
    <w:p w14:paraId="4D9BAF4F" w14:textId="6C6EF4C5" w:rsidR="008C197C" w:rsidRPr="00641FBB" w:rsidRDefault="008C197C" w:rsidP="00186BFB">
      <w:pPr>
        <w:jc w:val="left"/>
      </w:pPr>
      <w:r w:rsidRPr="00641FBB">
        <w:rPr>
          <w:bCs/>
        </w:rPr>
        <w:t>Committee on Migrant Workers (CMW)</w:t>
      </w:r>
      <w:r w:rsidRPr="00641FBB">
        <w:t> </w:t>
      </w:r>
      <w:r w:rsidRPr="00641FBB">
        <w:br/>
        <w:t>Human Rights Treaties Division (HRTD)</w:t>
      </w:r>
      <w:r w:rsidRPr="00641FBB">
        <w:br/>
        <w:t>Office of the United Nations High Commissioner for Human Rights (OHCHR)</w:t>
      </w:r>
      <w:r w:rsidRPr="00641FBB">
        <w:br/>
        <w:t>Palais Wilson - 52,</w:t>
      </w:r>
      <w:r w:rsidR="00F5333D" w:rsidRPr="00641FBB">
        <w:t xml:space="preserve"> rue des Pâquis</w:t>
      </w:r>
      <w:r w:rsidR="00F5333D" w:rsidRPr="00641FBB">
        <w:br/>
        <w:t>CH-1201 Geneva, Switzerland</w:t>
      </w:r>
    </w:p>
    <w:p w14:paraId="0DFAC329" w14:textId="62B20BA7" w:rsidR="008C197C" w:rsidRPr="00641FBB" w:rsidRDefault="008C197C" w:rsidP="00186BFB">
      <w:pPr>
        <w:pStyle w:val="NoSpacing"/>
        <w:jc w:val="left"/>
      </w:pPr>
      <w:r w:rsidRPr="00641FBB">
        <w:rPr>
          <w:iCs/>
        </w:rPr>
        <w:t>Mailing Address</w:t>
      </w:r>
      <w:r w:rsidR="00F5333D" w:rsidRPr="00641FBB">
        <w:t>:</w:t>
      </w:r>
      <w:r w:rsidRPr="00641FBB">
        <w:br/>
        <w:t>UNOG-OHCHR</w:t>
      </w:r>
      <w:r w:rsidRPr="00641FBB">
        <w:br/>
        <w:t>CH-1211 Geneva 10</w:t>
      </w:r>
      <w:r w:rsidR="00F5333D" w:rsidRPr="00641FBB">
        <w:t>,</w:t>
      </w:r>
      <w:r w:rsidRPr="00641FBB">
        <w:t xml:space="preserve"> </w:t>
      </w:r>
      <w:r w:rsidR="00F5333D" w:rsidRPr="00641FBB">
        <w:t>Switzerland</w:t>
      </w:r>
    </w:p>
    <w:p w14:paraId="0EF08D45" w14:textId="77777777" w:rsidR="00F5333D" w:rsidRPr="00641FBB" w:rsidRDefault="00F5333D" w:rsidP="00186BFB">
      <w:pPr>
        <w:pStyle w:val="NoSpacing"/>
        <w:jc w:val="left"/>
        <w:rPr>
          <w:color w:val="243F60" w:themeColor="accent1" w:themeShade="7F"/>
        </w:rPr>
      </w:pPr>
    </w:p>
    <w:p w14:paraId="681DB00B" w14:textId="04182100" w:rsidR="008C197C" w:rsidRPr="00641FBB" w:rsidRDefault="008C197C" w:rsidP="00186BFB">
      <w:pPr>
        <w:pStyle w:val="NoSpacing"/>
        <w:jc w:val="left"/>
      </w:pPr>
      <w:r w:rsidRPr="00641FBB">
        <w:t xml:space="preserve">Tel.: +41 </w:t>
      </w:r>
      <w:r w:rsidR="003473E0" w:rsidRPr="00641FBB">
        <w:t xml:space="preserve">(0) </w:t>
      </w:r>
      <w:r w:rsidRPr="00641FBB">
        <w:t>22 917 96 41</w:t>
      </w:r>
      <w:r w:rsidRPr="00641FBB">
        <w:br/>
        <w:t xml:space="preserve">Fax: +41 </w:t>
      </w:r>
      <w:r w:rsidR="003473E0" w:rsidRPr="00641FBB">
        <w:t xml:space="preserve">(0) </w:t>
      </w:r>
      <w:r w:rsidRPr="00641FBB">
        <w:t>22 917 90 08</w:t>
      </w:r>
      <w:r w:rsidRPr="00641FBB">
        <w:br/>
        <w:t>E-mail: </w:t>
      </w:r>
      <w:r w:rsidRPr="00641FBB">
        <w:rPr>
          <w:rStyle w:val="apple-converted-space"/>
          <w:color w:val="555555"/>
        </w:rPr>
        <w:t> </w:t>
      </w:r>
      <w:hyperlink r:id="rId24" w:history="1">
        <w:r w:rsidRPr="00641FBB">
          <w:rPr>
            <w:rStyle w:val="Hyperlink"/>
          </w:rPr>
          <w:t>cmw@ohchr.org</w:t>
        </w:r>
      </w:hyperlink>
    </w:p>
    <w:p w14:paraId="55F78005" w14:textId="114A65AD" w:rsidR="008C197C" w:rsidRPr="00186BFB" w:rsidRDefault="00F5333D" w:rsidP="00186BFB">
      <w:pPr>
        <w:pStyle w:val="NoSpacing"/>
        <w:jc w:val="left"/>
        <w:rPr>
          <w:rStyle w:val="Strong"/>
          <w:b w:val="0"/>
          <w:bCs w:val="0"/>
        </w:rPr>
      </w:pPr>
      <w:r w:rsidRPr="00641FBB">
        <w:t xml:space="preserve">Website: </w:t>
      </w:r>
      <w:hyperlink r:id="rId25" w:history="1">
        <w:r w:rsidR="00177435" w:rsidRPr="00641FBB">
          <w:rPr>
            <w:rStyle w:val="Hyperlink"/>
          </w:rPr>
          <w:t>http://www.ohchr.org/EN/HRBodies/CMW/Pages/CMWIndex.aspx</w:t>
        </w:r>
      </w:hyperlink>
    </w:p>
    <w:p w14:paraId="0B5EB12A" w14:textId="27284436" w:rsidR="00F343AE" w:rsidRPr="00641FBB" w:rsidRDefault="00F343AE" w:rsidP="00F343AE">
      <w:pPr>
        <w:pStyle w:val="Heading5"/>
      </w:pPr>
      <w:r w:rsidRPr="00641FBB">
        <w:t>Individual Communications</w:t>
      </w:r>
    </w:p>
    <w:p w14:paraId="12F71A7C" w14:textId="41F5BCF4" w:rsidR="008C197C" w:rsidRPr="00641FBB" w:rsidRDefault="008C197C" w:rsidP="00186BFB">
      <w:pPr>
        <w:pStyle w:val="NoSpacing"/>
        <w:jc w:val="left"/>
      </w:pPr>
      <w:r w:rsidRPr="00641FBB">
        <w:t>Petitions Team</w:t>
      </w:r>
      <w:r w:rsidRPr="00641FBB">
        <w:br/>
        <w:t>Office of the High Commissioner for Human Rights</w:t>
      </w:r>
      <w:r w:rsidRPr="00641FBB">
        <w:br/>
        <w:t xml:space="preserve">United Nations </w:t>
      </w:r>
      <w:r w:rsidR="00F5333D" w:rsidRPr="00641FBB">
        <w:t>Office at Geneva</w:t>
      </w:r>
      <w:r w:rsidR="00F5333D" w:rsidRPr="00641FBB">
        <w:br/>
        <w:t>1211 Geneva 10, Switzerland</w:t>
      </w:r>
    </w:p>
    <w:p w14:paraId="0FA1FB36" w14:textId="64F8A3EC" w:rsidR="00F5333D" w:rsidRPr="00641FBB" w:rsidRDefault="008C197C" w:rsidP="00186BFB">
      <w:pPr>
        <w:jc w:val="left"/>
        <w:rPr>
          <w:color w:val="0000FF" w:themeColor="hyperlink"/>
          <w:u w:val="single"/>
        </w:rPr>
      </w:pPr>
      <w:r w:rsidRPr="00641FBB">
        <w:t xml:space="preserve">Fax: + 41 </w:t>
      </w:r>
      <w:r w:rsidR="003473E0" w:rsidRPr="00641FBB">
        <w:t xml:space="preserve">(0) </w:t>
      </w:r>
      <w:r w:rsidRPr="00641FBB">
        <w:t>22 917 9022 (particularly for urgent matters)</w:t>
      </w:r>
      <w:r w:rsidRPr="00641FBB">
        <w:rPr>
          <w:rStyle w:val="apple-converted-space"/>
          <w:color w:val="555555"/>
          <w:sz w:val="22"/>
          <w:szCs w:val="15"/>
        </w:rPr>
        <w:t> </w:t>
      </w:r>
      <w:r w:rsidRPr="00641FBB">
        <w:br/>
        <w:t>E-mail: </w:t>
      </w:r>
      <w:r w:rsidRPr="00641FBB">
        <w:rPr>
          <w:rStyle w:val="apple-converted-space"/>
          <w:color w:val="555555"/>
          <w:sz w:val="22"/>
          <w:szCs w:val="15"/>
        </w:rPr>
        <w:t> </w:t>
      </w:r>
      <w:hyperlink r:id="rId26" w:history="1">
        <w:r w:rsidRPr="00641FBB">
          <w:rPr>
            <w:rStyle w:val="Hyperlink"/>
          </w:rPr>
          <w:t>tb-petitions@ohchr.org</w:t>
        </w:r>
      </w:hyperlink>
    </w:p>
    <w:p w14:paraId="08F907BE" w14:textId="4F542605" w:rsidR="00507554" w:rsidRPr="00641FBB" w:rsidRDefault="00507554" w:rsidP="00F343AE">
      <w:pPr>
        <w:pStyle w:val="Heading3"/>
        <w:rPr>
          <w:iCs/>
        </w:rPr>
      </w:pPr>
      <w:r w:rsidRPr="00641FBB">
        <w:t xml:space="preserve">Committee on the Rights of Persons with Disabilities </w:t>
      </w:r>
    </w:p>
    <w:p w14:paraId="7605C928" w14:textId="77777777" w:rsidR="00507554" w:rsidRPr="00641FBB" w:rsidRDefault="00507554" w:rsidP="00F343AE">
      <w:pPr>
        <w:pStyle w:val="Heading4"/>
      </w:pPr>
      <w:r w:rsidRPr="00641FBB">
        <w:t>Mandate</w:t>
      </w:r>
    </w:p>
    <w:p w14:paraId="2998C3AA" w14:textId="6FB9C632" w:rsidR="00A61BDF" w:rsidRPr="00641FBB" w:rsidRDefault="00507554" w:rsidP="00507554">
      <w:r w:rsidRPr="00641FBB">
        <w:t xml:space="preserve">The </w:t>
      </w:r>
      <w:r w:rsidR="00A26073" w:rsidRPr="00641FBB">
        <w:t>Committee on the Rights of Persons with Disabilities (</w:t>
      </w:r>
      <w:r w:rsidRPr="00641FBB">
        <w:t>CRPD</w:t>
      </w:r>
      <w:r w:rsidR="00A26073" w:rsidRPr="00641FBB">
        <w:t xml:space="preserve"> Committee)</w:t>
      </w:r>
      <w:r w:rsidRPr="00641FBB">
        <w:t xml:space="preserve"> oversees </w:t>
      </w:r>
      <w:r w:rsidR="003208F6">
        <w:t>s</w:t>
      </w:r>
      <w:r w:rsidR="00F4325F" w:rsidRPr="00641FBB">
        <w:t>tate</w:t>
      </w:r>
      <w:r w:rsidRPr="00641FBB">
        <w:t xml:space="preserve"> compliance with the Convention on the Rights of Persons with Disabilities (CRPD). </w:t>
      </w:r>
      <w:r w:rsidR="00A61BDF" w:rsidRPr="00641FBB">
        <w:t xml:space="preserve">Issuing interpretative documents on the treaty’s content is part of the CRPD Committee’s mandate, but as of this writing, has </w:t>
      </w:r>
      <w:r w:rsidR="000866E4" w:rsidRPr="00641FBB">
        <w:t>only</w:t>
      </w:r>
      <w:r w:rsidR="00A61BDF" w:rsidRPr="00641FBB">
        <w:t xml:space="preserve"> issued </w:t>
      </w:r>
      <w:r w:rsidR="000866E4" w:rsidRPr="00641FBB">
        <w:t>draft general comments</w:t>
      </w:r>
      <w:r w:rsidR="00A61BDF" w:rsidRPr="00641FBB">
        <w:t xml:space="preserve">. </w:t>
      </w:r>
    </w:p>
    <w:p w14:paraId="5702E7A2" w14:textId="14C155B1" w:rsidR="00507554" w:rsidRPr="00641FBB" w:rsidRDefault="00A26073" w:rsidP="00507554">
      <w:r w:rsidRPr="00641FBB">
        <w:t>The CRPD Committee</w:t>
      </w:r>
      <w:r w:rsidR="00507554" w:rsidRPr="00641FBB">
        <w:t xml:space="preserve"> monitors progress in the implementation of the </w:t>
      </w:r>
      <w:r w:rsidR="00F053CC" w:rsidRPr="00641FBB">
        <w:t>CRPD</w:t>
      </w:r>
      <w:r w:rsidR="00507554" w:rsidRPr="00641FBB">
        <w:t xml:space="preserve"> based on periodic reports submitted by </w:t>
      </w:r>
      <w:r w:rsidR="003208F6">
        <w:t>s</w:t>
      </w:r>
      <w:r w:rsidR="00F4325F" w:rsidRPr="00641FBB">
        <w:t>tates</w:t>
      </w:r>
      <w:r w:rsidR="00FA05D5" w:rsidRPr="00641FBB">
        <w:t xml:space="preserve"> that have ratified the treaty, considers inter-state complaints of human rights violations, and examines</w:t>
      </w:r>
      <w:r w:rsidR="00FA05D5" w:rsidRPr="00641FBB">
        <w:rPr>
          <w:b/>
        </w:rPr>
        <w:t xml:space="preserve"> </w:t>
      </w:r>
      <w:r w:rsidR="00FA05D5" w:rsidRPr="00641FBB">
        <w:t>individual complaints</w:t>
      </w:r>
      <w:r w:rsidR="00FA05D5" w:rsidRPr="00641FBB">
        <w:rPr>
          <w:b/>
        </w:rPr>
        <w:t xml:space="preserve"> </w:t>
      </w:r>
      <w:r w:rsidR="00FA05D5" w:rsidRPr="00641FBB">
        <w:t xml:space="preserve">of human rights violations allegedly committed by </w:t>
      </w:r>
      <w:r w:rsidR="00F4325F" w:rsidRPr="00641FBB">
        <w:t>states</w:t>
      </w:r>
      <w:r w:rsidR="00FA05D5" w:rsidRPr="00641FBB">
        <w:t xml:space="preserve"> that have ratified the Optional Protocol to the CRPD.</w:t>
      </w:r>
    </w:p>
    <w:p w14:paraId="257D2578" w14:textId="2F2337AC" w:rsidR="00507554" w:rsidRPr="00641FBB" w:rsidRDefault="00FA05D5" w:rsidP="00507554">
      <w:r w:rsidRPr="00641FBB">
        <w:t xml:space="preserve">As part of the periodic reporting procedure, </w:t>
      </w:r>
      <w:r w:rsidR="00A3289B" w:rsidRPr="00641FBB">
        <w:t>States parties</w:t>
      </w:r>
      <w:r w:rsidRPr="00641FBB">
        <w:t xml:space="preserve"> must report within two years of ratifying the CRPD and every four years thereafter. Once a </w:t>
      </w:r>
      <w:r w:rsidR="00A3289B" w:rsidRPr="00641FBB">
        <w:t>State party</w:t>
      </w:r>
      <w:r w:rsidRPr="00641FBB">
        <w:t xml:space="preserve"> submits its report, the CRPD Committee examines the report and issues “concluding observations,” expressing general recommendations and suggestions on how the </w:t>
      </w:r>
      <w:r w:rsidR="00F4325F" w:rsidRPr="00641FBB">
        <w:t>state</w:t>
      </w:r>
      <w:r w:rsidRPr="00641FBB">
        <w:t xml:space="preserve"> can better implement the treaty</w:t>
      </w:r>
      <w:r w:rsidR="00507554" w:rsidRPr="00641FBB">
        <w:t>.</w:t>
      </w:r>
    </w:p>
    <w:p w14:paraId="00462E13" w14:textId="2128CA7A" w:rsidR="00507554" w:rsidRPr="00641FBB" w:rsidRDefault="00507554" w:rsidP="00A26073">
      <w:r w:rsidRPr="00641FBB">
        <w:t xml:space="preserve">The CRC Committee meets </w:t>
      </w:r>
      <w:r w:rsidR="00CA4272" w:rsidRPr="00641FBB">
        <w:t>twice</w:t>
      </w:r>
      <w:r w:rsidRPr="00641FBB">
        <w:t xml:space="preserve"> </w:t>
      </w:r>
      <w:r w:rsidR="00CA4272" w:rsidRPr="00641FBB">
        <w:t>per</w:t>
      </w:r>
      <w:r w:rsidRPr="00641FBB">
        <w:t xml:space="preserve"> year.</w:t>
      </w:r>
    </w:p>
    <w:p w14:paraId="207D07B5" w14:textId="77777777" w:rsidR="00CA4272" w:rsidRPr="00641FBB" w:rsidRDefault="00CA4272" w:rsidP="00F343AE">
      <w:pPr>
        <w:pStyle w:val="Heading4"/>
      </w:pPr>
      <w:r w:rsidRPr="00641FBB">
        <w:t>Civil Society Participation</w:t>
      </w:r>
    </w:p>
    <w:p w14:paraId="779D5B61" w14:textId="3D342712" w:rsidR="00CA4272" w:rsidRPr="00641FBB" w:rsidRDefault="00CA4272" w:rsidP="00CA4272">
      <w:r w:rsidRPr="00641FBB">
        <w:t>As part of the periodic reporting procedure, NGOs can submit “shadow reports” to the CRP</w:t>
      </w:r>
      <w:r w:rsidR="00882364" w:rsidRPr="00641FBB">
        <w:t>D</w:t>
      </w:r>
      <w:r w:rsidRPr="00641FBB">
        <w:t xml:space="preserve"> Committee on any aspect of a </w:t>
      </w:r>
      <w:r w:rsidR="00A3289B" w:rsidRPr="00641FBB">
        <w:t>State party</w:t>
      </w:r>
      <w:r w:rsidR="00F4325F" w:rsidRPr="00641FBB">
        <w:t>’s</w:t>
      </w:r>
      <w:r w:rsidRPr="00641FBB">
        <w:t xml:space="preserve"> compliance with the CRPD. Shadow reports should be submitted through the CR</w:t>
      </w:r>
      <w:r w:rsidR="00DD04CF" w:rsidRPr="00641FBB">
        <w:t>PD</w:t>
      </w:r>
      <w:r w:rsidRPr="00641FBB">
        <w:t xml:space="preserve"> Secretariat at the Office of the High Commissioner for Human Rights (OHCHR) in Geneva, which also maintains a calendar of when </w:t>
      </w:r>
      <w:r w:rsidR="00A3289B" w:rsidRPr="00641FBB">
        <w:t>States parties</w:t>
      </w:r>
      <w:r w:rsidRPr="00641FBB">
        <w:t xml:space="preserve"> come before the CRPD Committee. </w:t>
      </w:r>
    </w:p>
    <w:p w14:paraId="6AC79404" w14:textId="77777777" w:rsidR="00CA4272" w:rsidRPr="00641FBB" w:rsidRDefault="00CA4272" w:rsidP="00F343AE">
      <w:pPr>
        <w:pStyle w:val="Heading4"/>
      </w:pPr>
      <w:r w:rsidRPr="00641FBB">
        <w:t>Contact Information</w:t>
      </w:r>
    </w:p>
    <w:p w14:paraId="0586605B" w14:textId="77777777" w:rsidR="00CA4272" w:rsidRPr="00641FBB" w:rsidRDefault="00CA4272" w:rsidP="00F343AE">
      <w:pPr>
        <w:pStyle w:val="Heading5"/>
      </w:pPr>
      <w:r w:rsidRPr="00641FBB">
        <w:t>Secretariat</w:t>
      </w:r>
    </w:p>
    <w:p w14:paraId="0F2B4320" w14:textId="0CCCF7ED" w:rsidR="00CA4272" w:rsidRPr="00641FBB" w:rsidRDefault="00CA4272" w:rsidP="00186BFB">
      <w:pPr>
        <w:pStyle w:val="NoSpacing"/>
        <w:jc w:val="left"/>
      </w:pPr>
      <w:r w:rsidRPr="00641FBB">
        <w:t>Committee on the Rights of Persons with Disabilities (CRPD) </w:t>
      </w:r>
      <w:r w:rsidRPr="00641FBB">
        <w:br/>
        <w:t>Human Rights Treaties Division (HRTD)</w:t>
      </w:r>
      <w:r w:rsidRPr="00641FBB">
        <w:br/>
        <w:t>Office of the United Nations High Commissioner for Human Rights (OHCHR)</w:t>
      </w:r>
      <w:r w:rsidRPr="00641FBB">
        <w:br/>
        <w:t>Palais Wilson - 52, rue des Pâquis</w:t>
      </w:r>
      <w:r w:rsidRPr="00641FBB">
        <w:br/>
        <w:t>CH-1201 Geneva, Switzerland</w:t>
      </w:r>
    </w:p>
    <w:p w14:paraId="0D0D4B92" w14:textId="77777777" w:rsidR="00CA4272" w:rsidRPr="00641FBB" w:rsidRDefault="00CA4272" w:rsidP="00186BFB">
      <w:pPr>
        <w:pStyle w:val="NoSpacing"/>
        <w:jc w:val="left"/>
      </w:pPr>
    </w:p>
    <w:p w14:paraId="09BAE1B8" w14:textId="14E6C972" w:rsidR="00CA4272" w:rsidRPr="00641FBB" w:rsidRDefault="00CA4272" w:rsidP="00186BFB">
      <w:pPr>
        <w:pStyle w:val="NoSpacing"/>
        <w:jc w:val="left"/>
      </w:pPr>
      <w:r w:rsidRPr="00641FBB">
        <w:t>Mailing address:</w:t>
      </w:r>
    </w:p>
    <w:p w14:paraId="61720112" w14:textId="77777777" w:rsidR="00CA4272" w:rsidRPr="00641FBB" w:rsidRDefault="00CA4272" w:rsidP="00186BFB">
      <w:pPr>
        <w:pStyle w:val="NoSpacing"/>
        <w:jc w:val="left"/>
      </w:pPr>
      <w:r w:rsidRPr="00641FBB">
        <w:t>UNOG-OHCHR</w:t>
      </w:r>
    </w:p>
    <w:p w14:paraId="6D9FF657" w14:textId="157DC477" w:rsidR="00CA4272" w:rsidRPr="00641FBB" w:rsidRDefault="00CA4272" w:rsidP="00186BFB">
      <w:pPr>
        <w:pStyle w:val="NoSpacing"/>
        <w:jc w:val="left"/>
      </w:pPr>
      <w:r w:rsidRPr="00641FBB">
        <w:t>CH-1211 Geneva 10, Switzerland</w:t>
      </w:r>
    </w:p>
    <w:p w14:paraId="5218CC79" w14:textId="77777777" w:rsidR="00CA4272" w:rsidRPr="00641FBB" w:rsidRDefault="00CA4272" w:rsidP="00186BFB">
      <w:pPr>
        <w:pStyle w:val="NoSpacing"/>
        <w:jc w:val="left"/>
      </w:pPr>
    </w:p>
    <w:p w14:paraId="2CBA498A" w14:textId="5D0BA1EB" w:rsidR="00CA4272" w:rsidRPr="00641FBB" w:rsidRDefault="00CA4272" w:rsidP="00186BFB">
      <w:pPr>
        <w:pStyle w:val="NoSpacing"/>
        <w:jc w:val="left"/>
      </w:pPr>
      <w:r w:rsidRPr="00641FBB">
        <w:t xml:space="preserve">Tel.: +41 </w:t>
      </w:r>
      <w:r w:rsidR="003473E0" w:rsidRPr="00641FBB">
        <w:t xml:space="preserve">(0) </w:t>
      </w:r>
      <w:r w:rsidRPr="00641FBB">
        <w:t>22 917 97 03</w:t>
      </w:r>
      <w:r w:rsidRPr="00641FBB">
        <w:br/>
        <w:t xml:space="preserve">Fax: +41 </w:t>
      </w:r>
      <w:r w:rsidR="003473E0" w:rsidRPr="00641FBB">
        <w:t xml:space="preserve">(0) </w:t>
      </w:r>
      <w:r w:rsidRPr="00641FBB">
        <w:t>22 917 90 08</w:t>
      </w:r>
    </w:p>
    <w:p w14:paraId="01A3F633" w14:textId="37F895AE" w:rsidR="00CA4272" w:rsidRPr="00641FBB" w:rsidRDefault="00CA4272" w:rsidP="00186BFB">
      <w:pPr>
        <w:pStyle w:val="NoSpacing"/>
        <w:jc w:val="left"/>
        <w:rPr>
          <w:sz w:val="22"/>
        </w:rPr>
      </w:pPr>
      <w:r w:rsidRPr="00641FBB">
        <w:t xml:space="preserve">E-mail: </w:t>
      </w:r>
      <w:hyperlink r:id="rId27" w:history="1">
        <w:r w:rsidRPr="00641FBB">
          <w:rPr>
            <w:rStyle w:val="Hyperlink"/>
          </w:rPr>
          <w:t>crpd@ohchr.org</w:t>
        </w:r>
      </w:hyperlink>
      <w:r w:rsidRPr="00641FBB">
        <w:rPr>
          <w:color w:val="000000"/>
          <w:sz w:val="22"/>
          <w:szCs w:val="15"/>
          <w:shd w:val="clear" w:color="auto" w:fill="FFFFFF"/>
        </w:rPr>
        <w:t> </w:t>
      </w:r>
    </w:p>
    <w:p w14:paraId="545FD29E" w14:textId="6E2B4E53" w:rsidR="00CA4272" w:rsidRPr="00641FBB" w:rsidRDefault="00CA4272" w:rsidP="00186BFB">
      <w:pPr>
        <w:pStyle w:val="NoSpacing"/>
        <w:jc w:val="left"/>
      </w:pPr>
      <w:r w:rsidRPr="00641FBB">
        <w:t xml:space="preserve">Website: </w:t>
      </w:r>
      <w:hyperlink r:id="rId28" w:history="1">
        <w:r w:rsidR="001315CD" w:rsidRPr="00641FBB">
          <w:rPr>
            <w:rStyle w:val="Hyperlink"/>
          </w:rPr>
          <w:t>http://www.ohchr.org/EN/HRBodies/CRPD/Pages/CRPDIndex.aspx</w:t>
        </w:r>
      </w:hyperlink>
    </w:p>
    <w:p w14:paraId="7B1FD252" w14:textId="6D7F55AE" w:rsidR="00CA4272" w:rsidRPr="00641FBB" w:rsidRDefault="00A80133" w:rsidP="00186BFB">
      <w:pPr>
        <w:pStyle w:val="Heading5"/>
        <w:jc w:val="left"/>
      </w:pPr>
      <w:r w:rsidRPr="00641FBB">
        <w:t>Individual Communications</w:t>
      </w:r>
    </w:p>
    <w:p w14:paraId="0ED490FF" w14:textId="77777777" w:rsidR="00CA4272" w:rsidRPr="00641FBB" w:rsidRDefault="00CA4272" w:rsidP="00186BFB">
      <w:pPr>
        <w:pStyle w:val="NoSpacing"/>
        <w:jc w:val="left"/>
      </w:pPr>
      <w:r w:rsidRPr="00641FBB">
        <w:t>Petitions Team</w:t>
      </w:r>
    </w:p>
    <w:p w14:paraId="0BCB4E32" w14:textId="77777777" w:rsidR="00CA4272" w:rsidRPr="00641FBB" w:rsidRDefault="00CA4272" w:rsidP="00186BFB">
      <w:pPr>
        <w:pStyle w:val="NoSpacing"/>
        <w:jc w:val="left"/>
      </w:pPr>
      <w:r w:rsidRPr="00641FBB">
        <w:t>Office of the High Commissioner for Human Rights</w:t>
      </w:r>
    </w:p>
    <w:p w14:paraId="1183998D" w14:textId="77777777" w:rsidR="00CA4272" w:rsidRPr="00641FBB" w:rsidRDefault="00CA4272" w:rsidP="00186BFB">
      <w:pPr>
        <w:pStyle w:val="NoSpacing"/>
        <w:jc w:val="left"/>
      </w:pPr>
      <w:r w:rsidRPr="00641FBB">
        <w:t>United Nations Office at Geneva</w:t>
      </w:r>
    </w:p>
    <w:p w14:paraId="00A67158" w14:textId="25312F06" w:rsidR="00CA4272" w:rsidRPr="00641FBB" w:rsidRDefault="00CA4272" w:rsidP="00186BFB">
      <w:pPr>
        <w:pStyle w:val="NoSpacing"/>
        <w:jc w:val="left"/>
      </w:pPr>
      <w:r w:rsidRPr="00641FBB">
        <w:t>1211 Geneva 10, Switzerland</w:t>
      </w:r>
    </w:p>
    <w:p w14:paraId="0C56FC83" w14:textId="77777777" w:rsidR="00CA4272" w:rsidRPr="00641FBB" w:rsidRDefault="00CA4272" w:rsidP="00186BFB">
      <w:pPr>
        <w:pStyle w:val="NoSpacing"/>
        <w:jc w:val="left"/>
      </w:pPr>
    </w:p>
    <w:p w14:paraId="0021E245" w14:textId="224F9F4C" w:rsidR="00CA4272" w:rsidRPr="00641FBB" w:rsidRDefault="00CA4272" w:rsidP="00186BFB">
      <w:pPr>
        <w:pStyle w:val="NoSpacing"/>
        <w:jc w:val="left"/>
      </w:pPr>
      <w:r w:rsidRPr="00641FBB">
        <w:t>Fax: + 41</w:t>
      </w:r>
      <w:r w:rsidR="003473E0" w:rsidRPr="00641FBB">
        <w:t xml:space="preserve"> (0)</w:t>
      </w:r>
      <w:r w:rsidRPr="00641FBB">
        <w:t xml:space="preserve"> 22 917 9022 (particularly for urgent matters)</w:t>
      </w:r>
    </w:p>
    <w:p w14:paraId="42D27FC9" w14:textId="2EF22448" w:rsidR="00CA4272" w:rsidRPr="00641FBB" w:rsidRDefault="00CA4272" w:rsidP="00186BFB">
      <w:pPr>
        <w:pStyle w:val="NoSpacing"/>
        <w:jc w:val="left"/>
      </w:pPr>
      <w:r w:rsidRPr="00641FBB">
        <w:t xml:space="preserve">E-mail: </w:t>
      </w:r>
      <w:hyperlink r:id="rId29" w:history="1">
        <w:r w:rsidRPr="00641FBB">
          <w:rPr>
            <w:rStyle w:val="Hyperlink"/>
          </w:rPr>
          <w:t>petitions@ohchr.org</w:t>
        </w:r>
      </w:hyperlink>
    </w:p>
    <w:p w14:paraId="179C0433" w14:textId="0B4ACAD6" w:rsidR="00EA3D21" w:rsidRPr="00641FBB" w:rsidRDefault="00EA3D21" w:rsidP="00F343AE">
      <w:pPr>
        <w:pStyle w:val="Heading3"/>
      </w:pPr>
      <w:r w:rsidRPr="00641FBB">
        <w:t>Committee on the Rights of the Child</w:t>
      </w:r>
      <w:r w:rsidR="00F053CC" w:rsidRPr="00641FBB">
        <w:t xml:space="preserve"> </w:t>
      </w:r>
    </w:p>
    <w:p w14:paraId="5759CBC7" w14:textId="77777777" w:rsidR="00EA3D21" w:rsidRPr="00641FBB" w:rsidRDefault="00EA3D21" w:rsidP="00F343AE">
      <w:pPr>
        <w:pStyle w:val="Heading4"/>
      </w:pPr>
      <w:r w:rsidRPr="00641FBB">
        <w:t>Mandate</w:t>
      </w:r>
    </w:p>
    <w:p w14:paraId="60815851" w14:textId="2D779752" w:rsidR="00AA4905" w:rsidRPr="00641FBB" w:rsidRDefault="00EA3D21" w:rsidP="00EA3D21">
      <w:r w:rsidRPr="00641FBB">
        <w:t xml:space="preserve">The Committee on the Rights of the Child </w:t>
      </w:r>
      <w:r w:rsidR="00A26073" w:rsidRPr="00641FBB">
        <w:t xml:space="preserve">(CRC Committee) </w:t>
      </w:r>
      <w:r w:rsidRPr="00641FBB">
        <w:t xml:space="preserve">oversees </w:t>
      </w:r>
      <w:r w:rsidR="00A3289B" w:rsidRPr="00641FBB">
        <w:t>State party</w:t>
      </w:r>
      <w:r w:rsidRPr="00641FBB">
        <w:t xml:space="preserve"> compliance with the Convention on the Rights of the Child (CRC). </w:t>
      </w:r>
      <w:r w:rsidR="00AA4905" w:rsidRPr="00641FBB">
        <w:t>The CRC Committee issues interpretative documents on the</w:t>
      </w:r>
      <w:r w:rsidR="001315CD" w:rsidRPr="00641FBB">
        <w:t xml:space="preserve"> CRC called “general comments.”</w:t>
      </w:r>
    </w:p>
    <w:p w14:paraId="49975B91" w14:textId="464908F6" w:rsidR="00164E07" w:rsidRPr="00641FBB" w:rsidRDefault="00A26073" w:rsidP="00EA3D21">
      <w:r w:rsidRPr="00641FBB">
        <w:t>The CRC Committee</w:t>
      </w:r>
      <w:r w:rsidR="00EA3D21" w:rsidRPr="00641FBB">
        <w:t xml:space="preserve"> monitors progress </w:t>
      </w:r>
      <w:r w:rsidR="00164E07" w:rsidRPr="00641FBB">
        <w:t xml:space="preserve">in the implementation of </w:t>
      </w:r>
      <w:r w:rsidR="00EA3D21" w:rsidRPr="00641FBB">
        <w:t xml:space="preserve">the CRC </w:t>
      </w:r>
      <w:r w:rsidR="00164E07" w:rsidRPr="00641FBB">
        <w:t xml:space="preserve">based on </w:t>
      </w:r>
      <w:r w:rsidR="00EA3D21" w:rsidRPr="00641FBB">
        <w:t xml:space="preserve">periodic reports submitted by </w:t>
      </w:r>
      <w:r w:rsidR="003208F6">
        <w:t>s</w:t>
      </w:r>
      <w:r w:rsidR="00F4325F" w:rsidRPr="00641FBB">
        <w:t>tates</w:t>
      </w:r>
      <w:r w:rsidR="00164E07" w:rsidRPr="00641FBB">
        <w:t xml:space="preserve"> that have ratified the treaty</w:t>
      </w:r>
      <w:r w:rsidR="00EA3D21" w:rsidRPr="00641FBB">
        <w:t>.</w:t>
      </w:r>
      <w:r w:rsidR="000867DA" w:rsidRPr="00641FBB">
        <w:t xml:space="preserve"> </w:t>
      </w:r>
      <w:r w:rsidR="00786188">
        <w:t xml:space="preserve">It also </w:t>
      </w:r>
      <w:r w:rsidR="00786188" w:rsidRPr="00641FBB">
        <w:t>examines</w:t>
      </w:r>
      <w:r w:rsidR="00786188" w:rsidRPr="00641FBB">
        <w:rPr>
          <w:b/>
        </w:rPr>
        <w:t xml:space="preserve"> </w:t>
      </w:r>
      <w:r w:rsidR="00786188" w:rsidRPr="00641FBB">
        <w:t>individual complaints</w:t>
      </w:r>
      <w:r w:rsidR="00786188" w:rsidRPr="00641FBB">
        <w:rPr>
          <w:b/>
        </w:rPr>
        <w:t xml:space="preserve"> </w:t>
      </w:r>
      <w:r w:rsidR="00786188" w:rsidRPr="00641FBB">
        <w:t xml:space="preserve">of human rights violations allegedly committed by </w:t>
      </w:r>
      <w:r w:rsidR="003208F6">
        <w:t>s</w:t>
      </w:r>
      <w:r w:rsidR="00786188" w:rsidRPr="00641FBB">
        <w:t xml:space="preserve">tates that have ratified the Optional Protocol to the </w:t>
      </w:r>
      <w:r w:rsidR="00786188">
        <w:t>CRC</w:t>
      </w:r>
      <w:r w:rsidR="00786188" w:rsidRPr="00641FBB">
        <w:t>.</w:t>
      </w:r>
    </w:p>
    <w:p w14:paraId="445F253C" w14:textId="34A8E640" w:rsidR="006534E6" w:rsidRPr="00641FBB" w:rsidRDefault="006534E6" w:rsidP="00EA3D21">
      <w:r w:rsidRPr="00641FBB">
        <w:t>The CRC Committee meets three times per year.</w:t>
      </w:r>
    </w:p>
    <w:p w14:paraId="25DE38FD" w14:textId="77777777" w:rsidR="00EA3D21" w:rsidRPr="00641FBB" w:rsidRDefault="00EA3D21" w:rsidP="00F343AE">
      <w:pPr>
        <w:pStyle w:val="Heading4"/>
      </w:pPr>
      <w:r w:rsidRPr="00641FBB">
        <w:t>Civil Society Participation</w:t>
      </w:r>
    </w:p>
    <w:p w14:paraId="593D0F03" w14:textId="0EB0C0F1" w:rsidR="00EA3D21" w:rsidRPr="00641FBB" w:rsidRDefault="006534E6" w:rsidP="00EA3D21">
      <w:r w:rsidRPr="00641FBB">
        <w:t xml:space="preserve">As part of the periodic reporting procedure, </w:t>
      </w:r>
      <w:r w:rsidR="00EA3D21" w:rsidRPr="00641FBB">
        <w:t xml:space="preserve">NGOs can submit “shadow reports” to the </w:t>
      </w:r>
      <w:r w:rsidRPr="00641FBB">
        <w:t xml:space="preserve">CRC </w:t>
      </w:r>
      <w:r w:rsidR="00EA3D21" w:rsidRPr="00641FBB">
        <w:t xml:space="preserve">Committee on any aspect of a </w:t>
      </w:r>
      <w:r w:rsidR="00A3289B" w:rsidRPr="00641FBB">
        <w:t>State party</w:t>
      </w:r>
      <w:r w:rsidR="00F4325F" w:rsidRPr="00641FBB">
        <w:t>’s</w:t>
      </w:r>
      <w:r w:rsidR="00EA3D21" w:rsidRPr="00641FBB">
        <w:t xml:space="preserve"> compliance with the CRC. Shadow reports should be submitted through the CRC Secretariat based at the Office of the High Commi</w:t>
      </w:r>
      <w:r w:rsidR="00DD04CF" w:rsidRPr="00641FBB">
        <w:t>ssioner for Human Rights</w:t>
      </w:r>
      <w:r w:rsidR="00EA3D21" w:rsidRPr="00641FBB">
        <w:t xml:space="preserve"> in Geneva, which also maintains a calendar of when </w:t>
      </w:r>
      <w:r w:rsidR="00A3289B" w:rsidRPr="00641FBB">
        <w:t>States parties</w:t>
      </w:r>
      <w:r w:rsidR="00EA3D21" w:rsidRPr="00641FBB">
        <w:t xml:space="preserve"> come before the </w:t>
      </w:r>
      <w:r w:rsidRPr="00641FBB">
        <w:t>CRC Committee</w:t>
      </w:r>
      <w:r w:rsidR="00EA3D21" w:rsidRPr="00641FBB">
        <w:t xml:space="preserve">. </w:t>
      </w:r>
    </w:p>
    <w:p w14:paraId="009F83E2" w14:textId="77777777" w:rsidR="00EA3D21" w:rsidRPr="00641FBB" w:rsidRDefault="00EA3D21" w:rsidP="00F343AE">
      <w:pPr>
        <w:pStyle w:val="Heading4"/>
      </w:pPr>
      <w:r w:rsidRPr="00641FBB">
        <w:t>Contact Information</w:t>
      </w:r>
    </w:p>
    <w:p w14:paraId="4ECDA59B" w14:textId="77777777" w:rsidR="00F343AE" w:rsidRPr="00641FBB" w:rsidRDefault="00F343AE" w:rsidP="00EA3D21">
      <w:pPr>
        <w:pStyle w:val="NoSpacing"/>
      </w:pPr>
    </w:p>
    <w:p w14:paraId="029331B9" w14:textId="77777777" w:rsidR="00EA3D21" w:rsidRPr="00641FBB" w:rsidRDefault="00EA3D21" w:rsidP="00EA3D21">
      <w:pPr>
        <w:pStyle w:val="NoSpacing"/>
      </w:pPr>
      <w:r w:rsidRPr="00641FBB">
        <w:t xml:space="preserve">Committee on the Rights of the Child (CRC) </w:t>
      </w:r>
    </w:p>
    <w:p w14:paraId="63E737A9" w14:textId="77777777" w:rsidR="00EA3D21" w:rsidRPr="00641FBB" w:rsidRDefault="00EA3D21" w:rsidP="00EA3D21">
      <w:pPr>
        <w:pStyle w:val="NoSpacing"/>
      </w:pPr>
      <w:r w:rsidRPr="00641FBB">
        <w:t>Human Rights Treaties Division (HRTD)</w:t>
      </w:r>
    </w:p>
    <w:p w14:paraId="384F2F3D" w14:textId="77777777" w:rsidR="00EA3D21" w:rsidRPr="00641FBB" w:rsidRDefault="00EA3D21" w:rsidP="00EA3D21">
      <w:pPr>
        <w:pStyle w:val="NoSpacing"/>
      </w:pPr>
      <w:r w:rsidRPr="00641FBB">
        <w:t>Office of the United Nations High Commissioner for Human Rights (OHCHR)</w:t>
      </w:r>
    </w:p>
    <w:p w14:paraId="50D40469" w14:textId="77777777" w:rsidR="00EA3D21" w:rsidRPr="00641FBB" w:rsidRDefault="00EA3D21" w:rsidP="00EA3D21">
      <w:pPr>
        <w:pStyle w:val="NoSpacing"/>
      </w:pPr>
      <w:r w:rsidRPr="00641FBB">
        <w:t>Palais Wilson - 52, rue des Pâquis</w:t>
      </w:r>
    </w:p>
    <w:p w14:paraId="70BA1465" w14:textId="6819C95A" w:rsidR="00EA3D21" w:rsidRPr="00641FBB" w:rsidRDefault="00F90350" w:rsidP="00EA3D21">
      <w:pPr>
        <w:pStyle w:val="NoSpacing"/>
      </w:pPr>
      <w:r w:rsidRPr="00641FBB">
        <w:t xml:space="preserve">CH-1201 Geneva, </w:t>
      </w:r>
      <w:r w:rsidR="00EA3D21" w:rsidRPr="00641FBB">
        <w:t>Swi</w:t>
      </w:r>
      <w:r w:rsidRPr="00641FBB">
        <w:t>tzerland</w:t>
      </w:r>
    </w:p>
    <w:p w14:paraId="2DAD683E" w14:textId="77777777" w:rsidR="00EA3D21" w:rsidRPr="00641FBB" w:rsidRDefault="00EA3D21" w:rsidP="00EA3D21">
      <w:pPr>
        <w:pStyle w:val="NoSpacing"/>
      </w:pPr>
    </w:p>
    <w:p w14:paraId="7084EE9C" w14:textId="2225FD6C" w:rsidR="00EA3D21" w:rsidRPr="00641FBB" w:rsidRDefault="00EA3D21" w:rsidP="00707732">
      <w:pPr>
        <w:pStyle w:val="NoSpacing"/>
      </w:pPr>
      <w:r w:rsidRPr="00641FBB">
        <w:t>Mailing address</w:t>
      </w:r>
      <w:r w:rsidR="00707732" w:rsidRPr="00641FBB">
        <w:t>:</w:t>
      </w:r>
    </w:p>
    <w:p w14:paraId="36C2B994" w14:textId="77777777" w:rsidR="00EA3D21" w:rsidRPr="00331FAD" w:rsidRDefault="00EA3D21" w:rsidP="00EA3D21">
      <w:pPr>
        <w:pStyle w:val="NoSpacing"/>
        <w:rPr>
          <w:lang w:val="de-AT"/>
        </w:rPr>
      </w:pPr>
      <w:r w:rsidRPr="00331FAD">
        <w:rPr>
          <w:lang w:val="de-AT"/>
        </w:rPr>
        <w:t>UNOG-OHCHR</w:t>
      </w:r>
    </w:p>
    <w:p w14:paraId="6756339C" w14:textId="251EC465" w:rsidR="00EA3D21" w:rsidRPr="00331FAD" w:rsidRDefault="00F90350" w:rsidP="00EA3D21">
      <w:pPr>
        <w:pStyle w:val="NoSpacing"/>
        <w:rPr>
          <w:lang w:val="de-AT"/>
        </w:rPr>
      </w:pPr>
      <w:r w:rsidRPr="00331FAD">
        <w:rPr>
          <w:lang w:val="de-AT"/>
        </w:rPr>
        <w:t>CH-1211 Geneva 10, Switzerland</w:t>
      </w:r>
    </w:p>
    <w:p w14:paraId="7106E77F" w14:textId="77777777" w:rsidR="00EA3D21" w:rsidRPr="00331FAD" w:rsidRDefault="00EA3D21" w:rsidP="00EA3D21">
      <w:pPr>
        <w:pStyle w:val="NoSpacing"/>
        <w:rPr>
          <w:lang w:val="de-AT"/>
        </w:rPr>
      </w:pPr>
    </w:p>
    <w:p w14:paraId="30EBEEB2" w14:textId="639EE1CD" w:rsidR="00EA3D21" w:rsidRPr="00331FAD" w:rsidRDefault="00EA3D21" w:rsidP="00EA3D21">
      <w:pPr>
        <w:pStyle w:val="NoSpacing"/>
        <w:rPr>
          <w:lang w:val="de-AT"/>
        </w:rPr>
      </w:pPr>
      <w:r w:rsidRPr="00331FAD">
        <w:rPr>
          <w:lang w:val="de-AT"/>
        </w:rPr>
        <w:t xml:space="preserve">Tel.: +41 </w:t>
      </w:r>
      <w:r w:rsidR="003473E0" w:rsidRPr="00331FAD">
        <w:rPr>
          <w:lang w:val="de-AT"/>
        </w:rPr>
        <w:t xml:space="preserve">(0) </w:t>
      </w:r>
      <w:r w:rsidRPr="00331FAD">
        <w:rPr>
          <w:lang w:val="de-AT"/>
        </w:rPr>
        <w:t>22 917 91 41</w:t>
      </w:r>
    </w:p>
    <w:p w14:paraId="6630EA5E" w14:textId="61496257" w:rsidR="00EA3D21" w:rsidRPr="00331FAD" w:rsidRDefault="00EA3D21" w:rsidP="00EA3D21">
      <w:pPr>
        <w:pStyle w:val="NoSpacing"/>
        <w:rPr>
          <w:lang w:val="de-AT"/>
        </w:rPr>
      </w:pPr>
      <w:r w:rsidRPr="00331FAD">
        <w:rPr>
          <w:lang w:val="de-AT"/>
        </w:rPr>
        <w:t xml:space="preserve">Fax: +41 </w:t>
      </w:r>
      <w:r w:rsidR="003473E0" w:rsidRPr="00331FAD">
        <w:rPr>
          <w:lang w:val="de-AT"/>
        </w:rPr>
        <w:t xml:space="preserve">(0) </w:t>
      </w:r>
      <w:r w:rsidRPr="00331FAD">
        <w:rPr>
          <w:lang w:val="de-AT"/>
        </w:rPr>
        <w:t>22 917 90 08</w:t>
      </w:r>
    </w:p>
    <w:p w14:paraId="7D9C11D4" w14:textId="77777777" w:rsidR="00EA3D21" w:rsidRPr="00331FAD" w:rsidRDefault="00EA3D21" w:rsidP="00602EC6">
      <w:pPr>
        <w:pStyle w:val="NoSpacing"/>
        <w:rPr>
          <w:lang w:val="de-AT"/>
        </w:rPr>
      </w:pPr>
      <w:r w:rsidRPr="00331FAD">
        <w:rPr>
          <w:lang w:val="de-AT"/>
        </w:rPr>
        <w:t xml:space="preserve">E-mail: </w:t>
      </w:r>
      <w:hyperlink r:id="rId30" w:history="1">
        <w:r w:rsidRPr="00331FAD">
          <w:rPr>
            <w:rStyle w:val="Hyperlink"/>
            <w:lang w:val="de-AT"/>
          </w:rPr>
          <w:t>crc@ohchr.org</w:t>
        </w:r>
      </w:hyperlink>
      <w:r w:rsidRPr="00331FAD">
        <w:rPr>
          <w:lang w:val="de-AT"/>
        </w:rPr>
        <w:t xml:space="preserve"> </w:t>
      </w:r>
    </w:p>
    <w:p w14:paraId="3496C745" w14:textId="0E68B400" w:rsidR="00BC3D61" w:rsidRDefault="00EA3D21" w:rsidP="00602EC6">
      <w:pPr>
        <w:pStyle w:val="NoSpacing"/>
        <w:rPr>
          <w:rStyle w:val="Hyperlink"/>
        </w:rPr>
      </w:pPr>
      <w:r w:rsidRPr="00641FBB">
        <w:t xml:space="preserve">Website: </w:t>
      </w:r>
      <w:hyperlink r:id="rId31" w:history="1">
        <w:r w:rsidR="001315CD" w:rsidRPr="00641FBB">
          <w:rPr>
            <w:rStyle w:val="Hyperlink"/>
          </w:rPr>
          <w:t>http://www2.ohchr.org/english/bodies/crc/index.htm</w:t>
        </w:r>
      </w:hyperlink>
    </w:p>
    <w:p w14:paraId="778521E7" w14:textId="77777777" w:rsidR="00BC3D61" w:rsidRPr="00641FBB" w:rsidRDefault="00BC3D61" w:rsidP="00BC3D61">
      <w:pPr>
        <w:pStyle w:val="Heading5"/>
      </w:pPr>
      <w:r w:rsidRPr="00641FBB">
        <w:t>Individual Communications</w:t>
      </w:r>
    </w:p>
    <w:p w14:paraId="49728F5B" w14:textId="77777777" w:rsidR="00BC3D61" w:rsidRPr="00641FBB" w:rsidRDefault="00BC3D61" w:rsidP="00BC3D61">
      <w:pPr>
        <w:pStyle w:val="NoSpacing"/>
      </w:pPr>
      <w:r w:rsidRPr="00641FBB">
        <w:t>Petitions Team</w:t>
      </w:r>
    </w:p>
    <w:p w14:paraId="4AF27A63" w14:textId="77777777" w:rsidR="00BC3D61" w:rsidRPr="00641FBB" w:rsidRDefault="00BC3D61" w:rsidP="00BC3D61">
      <w:pPr>
        <w:pStyle w:val="NoSpacing"/>
      </w:pPr>
      <w:r w:rsidRPr="00641FBB">
        <w:t>Office of the High Commissioner for Human Rights</w:t>
      </w:r>
    </w:p>
    <w:p w14:paraId="534E0A1F" w14:textId="77777777" w:rsidR="00BC3D61" w:rsidRPr="00641FBB" w:rsidRDefault="00BC3D61" w:rsidP="00BC3D61">
      <w:pPr>
        <w:pStyle w:val="NoSpacing"/>
      </w:pPr>
      <w:r w:rsidRPr="00641FBB">
        <w:t>United Nations Office at Geneva</w:t>
      </w:r>
    </w:p>
    <w:p w14:paraId="73E71F26" w14:textId="77777777" w:rsidR="00BC3D61" w:rsidRPr="00641FBB" w:rsidRDefault="00BC3D61" w:rsidP="00BC3D61">
      <w:pPr>
        <w:pStyle w:val="NoSpacing"/>
      </w:pPr>
      <w:r w:rsidRPr="00641FBB">
        <w:t>1211 Geneva 10, Switzerland</w:t>
      </w:r>
    </w:p>
    <w:p w14:paraId="04A2F77C" w14:textId="77777777" w:rsidR="00BC3D61" w:rsidRPr="00641FBB" w:rsidRDefault="00BC3D61" w:rsidP="00BC3D61">
      <w:pPr>
        <w:pStyle w:val="NoSpacing"/>
      </w:pPr>
    </w:p>
    <w:p w14:paraId="7AFCFB21" w14:textId="77777777" w:rsidR="00BC3D61" w:rsidRPr="00641FBB" w:rsidRDefault="00BC3D61" w:rsidP="00BC3D61">
      <w:pPr>
        <w:pStyle w:val="NoSpacing"/>
      </w:pPr>
      <w:r w:rsidRPr="00641FBB">
        <w:t>Fax: + 41 (0) 22 917 9022 (particularly for urgent matters)</w:t>
      </w:r>
    </w:p>
    <w:p w14:paraId="17677877" w14:textId="3241EB7B" w:rsidR="00BC3D61" w:rsidRPr="00641FBB" w:rsidRDefault="00BC3D61" w:rsidP="00602EC6">
      <w:pPr>
        <w:pStyle w:val="NoSpacing"/>
      </w:pPr>
      <w:r w:rsidRPr="00641FBB">
        <w:t xml:space="preserve">E-mail: </w:t>
      </w:r>
      <w:hyperlink r:id="rId32" w:history="1">
        <w:r w:rsidRPr="00641FBB">
          <w:rPr>
            <w:rStyle w:val="Hyperlink"/>
          </w:rPr>
          <w:t>petitions@ohchr.org</w:t>
        </w:r>
      </w:hyperlink>
    </w:p>
    <w:p w14:paraId="6F65E385" w14:textId="579AD374" w:rsidR="00881E11" w:rsidRPr="00641FBB" w:rsidRDefault="00881E11" w:rsidP="00F343AE">
      <w:pPr>
        <w:pStyle w:val="Heading2"/>
      </w:pPr>
      <w:r w:rsidRPr="00641FBB">
        <w:t>Interna</w:t>
      </w:r>
      <w:r w:rsidR="00CD7A94" w:rsidRPr="00641FBB">
        <w:t>tional Labour Organization</w:t>
      </w:r>
    </w:p>
    <w:p w14:paraId="32D6624C" w14:textId="77777777" w:rsidR="00881E11" w:rsidRPr="00641FBB" w:rsidRDefault="00881E11" w:rsidP="00F343AE">
      <w:pPr>
        <w:pStyle w:val="Heading3"/>
      </w:pPr>
      <w:r w:rsidRPr="00641FBB">
        <w:t>Mandate</w:t>
      </w:r>
    </w:p>
    <w:p w14:paraId="722031A7" w14:textId="7BD96485" w:rsidR="00CA4272" w:rsidRPr="00641FBB" w:rsidRDefault="00CA4272" w:rsidP="00CA4272">
      <w:r w:rsidRPr="00641FBB">
        <w:t xml:space="preserve">The International Labour Organization (ILO) promotes the advancement of proper working conditions, decent employment opportunities, and the enhancement of social protection on work-relates issues.  The ILO is unique in its tripartite governing structure—representing </w:t>
      </w:r>
      <w:r w:rsidR="00F4325F" w:rsidRPr="00641FBB">
        <w:t>governments</w:t>
      </w:r>
      <w:r w:rsidRPr="00641FBB">
        <w:t>, employers</w:t>
      </w:r>
      <w:r w:rsidR="00DD04CF" w:rsidRPr="00641FBB">
        <w:t>,</w:t>
      </w:r>
      <w:r w:rsidRPr="00641FBB">
        <w:t xml:space="preserve"> and workers alike. </w:t>
      </w:r>
    </w:p>
    <w:p w14:paraId="581DCC00" w14:textId="32549A12" w:rsidR="00CA4272" w:rsidRPr="00641FBB" w:rsidRDefault="00CA4272" w:rsidP="00CA4272">
      <w:r w:rsidRPr="00641FBB">
        <w:t>The</w:t>
      </w:r>
      <w:r w:rsidR="00602EC6" w:rsidRPr="00641FBB">
        <w:t xml:space="preserve"> ILO hosts annual conferences that </w:t>
      </w:r>
      <w:r w:rsidRPr="00641FBB">
        <w:t>serv</w:t>
      </w:r>
      <w:r w:rsidR="00602EC6" w:rsidRPr="00641FBB">
        <w:t>e</w:t>
      </w:r>
      <w:r w:rsidRPr="00641FBB">
        <w:t xml:space="preserve"> as a forum for labor dialogue, establishing and adopting international labor standards, and electing the ILO </w:t>
      </w:r>
      <w:r w:rsidR="00A61BDF" w:rsidRPr="00641FBB">
        <w:t>G</w:t>
      </w:r>
      <w:r w:rsidRPr="00641FBB">
        <w:t xml:space="preserve">overning </w:t>
      </w:r>
      <w:r w:rsidR="00A61BDF" w:rsidRPr="00641FBB">
        <w:t>B</w:t>
      </w:r>
      <w:r w:rsidRPr="00641FBB">
        <w:t xml:space="preserve">ody.  </w:t>
      </w:r>
      <w:r w:rsidR="00F4325F" w:rsidRPr="00641FBB">
        <w:t>States</w:t>
      </w:r>
      <w:r w:rsidRPr="00641FBB">
        <w:t xml:space="preserve"> that have ratified </w:t>
      </w:r>
      <w:r w:rsidR="008C0A4C" w:rsidRPr="00641FBB">
        <w:t>an ILO</w:t>
      </w:r>
      <w:r w:rsidRPr="00641FBB">
        <w:t xml:space="preserve"> convention have a legal obligation to apply its provisions. To date, the ILO has adopted 189 international labor conventions.</w:t>
      </w:r>
    </w:p>
    <w:p w14:paraId="33017EA5" w14:textId="4EF6126F" w:rsidR="00DD04CF" w:rsidRPr="00641FBB" w:rsidRDefault="00F84F33" w:rsidP="00BE3073">
      <w:r w:rsidRPr="00641FBB">
        <w:t>There exist</w:t>
      </w:r>
      <w:r w:rsidR="00CA3DDA" w:rsidRPr="00641FBB">
        <w:t xml:space="preserve"> two kinds of mechanisms to monitor member state comp</w:t>
      </w:r>
      <w:r w:rsidR="00877043" w:rsidRPr="00641FBB">
        <w:t xml:space="preserve">liance with ILO conventions: a regular system of supervision and special procedures. </w:t>
      </w:r>
      <w:r w:rsidR="008C0A4C" w:rsidRPr="00641FBB">
        <w:t>Under the</w:t>
      </w:r>
      <w:r w:rsidR="00877043" w:rsidRPr="00641FBB">
        <w:t xml:space="preserve"> </w:t>
      </w:r>
      <w:r w:rsidR="002734C0" w:rsidRPr="00641FBB">
        <w:t>“</w:t>
      </w:r>
      <w:r w:rsidR="00877043" w:rsidRPr="00641FBB">
        <w:t>regular system of supervision</w:t>
      </w:r>
      <w:r w:rsidR="008C0A4C" w:rsidRPr="00641FBB">
        <w:t>,</w:t>
      </w:r>
      <w:r w:rsidR="002734C0" w:rsidRPr="00641FBB">
        <w:t>”</w:t>
      </w:r>
      <w:r w:rsidR="00CA3DDA" w:rsidRPr="00641FBB">
        <w:t xml:space="preserve"> </w:t>
      </w:r>
      <w:r w:rsidR="00602EC6" w:rsidRPr="00641FBB">
        <w:t xml:space="preserve">ILO </w:t>
      </w:r>
      <w:r w:rsidR="006E3975" w:rsidRPr="00641FBB">
        <w:t>Member States</w:t>
      </w:r>
      <w:r w:rsidR="008C0A4C" w:rsidRPr="00641FBB">
        <w:t xml:space="preserve"> are required to submit reports every two years on the implementation of the eight fundamental and four priority conventions ratified and every five years for all other conventions. However, a </w:t>
      </w:r>
      <w:r w:rsidR="00A3289B" w:rsidRPr="00641FBB">
        <w:t>State party</w:t>
      </w:r>
      <w:r w:rsidR="008C0A4C" w:rsidRPr="00641FBB">
        <w:t xml:space="preserve"> may be asked to submit reports at shorter intervals.  </w:t>
      </w:r>
      <w:r w:rsidR="00602EC6" w:rsidRPr="00641FBB">
        <w:t>The</w:t>
      </w:r>
      <w:r w:rsidR="008C0A4C" w:rsidRPr="00641FBB">
        <w:t xml:space="preserve"> Committee of Experts on the Application of Conventions and Recommendations (CEACR) examines the report</w:t>
      </w:r>
      <w:r w:rsidR="00BE3073" w:rsidRPr="00641FBB">
        <w:t xml:space="preserve"> and communi</w:t>
      </w:r>
      <w:r w:rsidR="00602EC6" w:rsidRPr="00641FBB">
        <w:t xml:space="preserve">cates with the </w:t>
      </w:r>
      <w:r w:rsidR="00A3289B" w:rsidRPr="00641FBB">
        <w:t>State party</w:t>
      </w:r>
      <w:r w:rsidR="00BE3073" w:rsidRPr="00641FBB">
        <w:t xml:space="preserve"> on the implementation of the conventions</w:t>
      </w:r>
      <w:r w:rsidR="00602EC6" w:rsidRPr="00641FBB">
        <w:t xml:space="preserve">. </w:t>
      </w:r>
      <w:r w:rsidR="002734C0" w:rsidRPr="00641FBB">
        <w:t>Once adopted, the CEACR annual report is submitted to the International Labour Conference and examined by the</w:t>
      </w:r>
      <w:r w:rsidR="008C0A4C" w:rsidRPr="00641FBB">
        <w:t xml:space="preserve"> Conference Committee on the Application of Standards (Conference Committee), </w:t>
      </w:r>
      <w:r w:rsidR="005244D6" w:rsidRPr="00641FBB">
        <w:t xml:space="preserve">which </w:t>
      </w:r>
      <w:r w:rsidR="002734C0" w:rsidRPr="00641FBB">
        <w:t xml:space="preserve">selects specific observations for discussion and invites </w:t>
      </w:r>
      <w:r w:rsidR="00A3289B" w:rsidRPr="00641FBB">
        <w:t>States parties</w:t>
      </w:r>
      <w:r w:rsidR="002734C0" w:rsidRPr="00641FBB">
        <w:t xml:space="preserve"> to respond and provide information on the matter(s) at issue. The Conference Committee usually issues conclusions and recommendations for improved implementation of the ILO convention(s).</w:t>
      </w:r>
      <w:r w:rsidR="008A6CE6" w:rsidRPr="00641FBB">
        <w:t xml:space="preserve"> </w:t>
      </w:r>
    </w:p>
    <w:p w14:paraId="6C289A90" w14:textId="5B64439A" w:rsidR="00703535" w:rsidRPr="00641FBB" w:rsidRDefault="00703535" w:rsidP="00BE3073">
      <w:r w:rsidRPr="00641FBB">
        <w:t>The CEACR meets in November and December of each year, and the International Labour Conference is held in June.</w:t>
      </w:r>
    </w:p>
    <w:p w14:paraId="2E0D4281" w14:textId="55AFAB89" w:rsidR="00703535" w:rsidRPr="00641FBB" w:rsidRDefault="00DD04CF" w:rsidP="00BE3073">
      <w:r w:rsidRPr="00641FBB">
        <w:t>The other mecha</w:t>
      </w:r>
      <w:r w:rsidR="00637C8B" w:rsidRPr="00641FBB">
        <w:t>nism is the ILO’s “special pro</w:t>
      </w:r>
      <w:r w:rsidRPr="00641FBB">
        <w:t xml:space="preserve">cedures,” where </w:t>
      </w:r>
      <w:r w:rsidR="005244D6" w:rsidRPr="00641FBB">
        <w:t xml:space="preserve">an </w:t>
      </w:r>
      <w:r w:rsidRPr="00641FBB">
        <w:t>i</w:t>
      </w:r>
      <w:r w:rsidR="00F84F33" w:rsidRPr="00641FBB">
        <w:t xml:space="preserve">ndustrial association of employers or workers can bring a complaint against </w:t>
      </w:r>
      <w:r w:rsidR="003208F6">
        <w:t>m</w:t>
      </w:r>
      <w:r w:rsidR="006E3975" w:rsidRPr="00641FBB">
        <w:t xml:space="preserve">ember </w:t>
      </w:r>
      <w:r w:rsidR="003208F6">
        <w:t>s</w:t>
      </w:r>
      <w:r w:rsidR="006E3975" w:rsidRPr="00641FBB">
        <w:t>tates</w:t>
      </w:r>
      <w:r w:rsidRPr="00641FBB">
        <w:t>.</w:t>
      </w:r>
      <w:r w:rsidR="00F84F33" w:rsidRPr="00641FBB">
        <w:t xml:space="preserve"> </w:t>
      </w:r>
      <w:r w:rsidR="00602EC6" w:rsidRPr="00641FBB">
        <w:t>They may bring complaints before the ILO Governing Body</w:t>
      </w:r>
      <w:r w:rsidR="00F84F33" w:rsidRPr="00641FBB">
        <w:t xml:space="preserve"> against any </w:t>
      </w:r>
      <w:r w:rsidR="003208F6">
        <w:t>m</w:t>
      </w:r>
      <w:r w:rsidR="00F84F33" w:rsidRPr="00641FBB">
        <w:t xml:space="preserve">ember </w:t>
      </w:r>
      <w:r w:rsidR="003208F6">
        <w:t>s</w:t>
      </w:r>
      <w:r w:rsidR="00F84F33" w:rsidRPr="00641FBB">
        <w:t>tate</w:t>
      </w:r>
      <w:r w:rsidR="00AC556B" w:rsidRPr="00641FBB">
        <w:t xml:space="preserve"> for failing </w:t>
      </w:r>
      <w:r w:rsidR="00602EC6" w:rsidRPr="00641FBB">
        <w:t xml:space="preserve">comply with the ratified convention. </w:t>
      </w:r>
      <w:r w:rsidR="00AC556B" w:rsidRPr="00641FBB">
        <w:t xml:space="preserve"> </w:t>
      </w:r>
      <w:r w:rsidR="005140C5" w:rsidRPr="00641FBB">
        <w:t xml:space="preserve">A committee of the Governing Body examines the case and submits to the Governing Body its conclusions and recommendations. If the Governing Body is not satisfied with the </w:t>
      </w:r>
      <w:r w:rsidR="003208F6">
        <w:t>s</w:t>
      </w:r>
      <w:r w:rsidR="00F4325F" w:rsidRPr="00641FBB">
        <w:t>tate’s</w:t>
      </w:r>
      <w:r w:rsidR="005140C5" w:rsidRPr="00641FBB">
        <w:t xml:space="preserve"> response, it may publish the representation and the response.</w:t>
      </w:r>
      <w:r w:rsidR="008A6CE6" w:rsidRPr="00641FBB">
        <w:t xml:space="preserve"> </w:t>
      </w:r>
      <w:r w:rsidR="005140C5" w:rsidRPr="00641FBB">
        <w:t xml:space="preserve">Employers’ and workers’ organizations can also bring a claim before the </w:t>
      </w:r>
      <w:r w:rsidR="00AC556B" w:rsidRPr="00641FBB">
        <w:t>Committee on Freedom of Association</w:t>
      </w:r>
      <w:r w:rsidR="008A6CE6" w:rsidRPr="00641FBB">
        <w:t>—</w:t>
      </w:r>
      <w:r w:rsidR="005140C5" w:rsidRPr="00641FBB">
        <w:t>another</w:t>
      </w:r>
      <w:r w:rsidR="008A6CE6" w:rsidRPr="00641FBB">
        <w:t xml:space="preserve"> </w:t>
      </w:r>
      <w:r w:rsidR="005140C5" w:rsidRPr="00641FBB">
        <w:t>special procedure. If the Committee</w:t>
      </w:r>
      <w:r w:rsidR="00AC556B" w:rsidRPr="00641FBB">
        <w:t xml:space="preserve"> finds a violation of freedom of association</w:t>
      </w:r>
      <w:r w:rsidR="005140C5" w:rsidRPr="00641FBB">
        <w:t xml:space="preserve">, </w:t>
      </w:r>
      <w:r w:rsidR="00AC556B" w:rsidRPr="00641FBB">
        <w:t>it</w:t>
      </w:r>
      <w:r w:rsidR="005140C5" w:rsidRPr="00641FBB">
        <w:t xml:space="preserve"> issues recommendations in the Governing Body’s report and requests that the </w:t>
      </w:r>
      <w:r w:rsidR="00A3289B" w:rsidRPr="00641FBB">
        <w:t>States parties</w:t>
      </w:r>
      <w:r w:rsidR="00AC556B" w:rsidRPr="00641FBB">
        <w:t xml:space="preserve"> </w:t>
      </w:r>
      <w:r w:rsidR="005140C5" w:rsidRPr="00641FBB">
        <w:t xml:space="preserve">later </w:t>
      </w:r>
      <w:r w:rsidR="00AC556B" w:rsidRPr="00641FBB">
        <w:t xml:space="preserve">report on the implementation of its recommendations. </w:t>
      </w:r>
    </w:p>
    <w:p w14:paraId="3E2B1B72" w14:textId="2C54AB03" w:rsidR="00CA4272" w:rsidRPr="00641FBB" w:rsidRDefault="00CA4272" w:rsidP="00F343AE">
      <w:pPr>
        <w:pStyle w:val="Heading4"/>
      </w:pPr>
      <w:r w:rsidRPr="00641FBB">
        <w:t>Civil Society Participation</w:t>
      </w:r>
    </w:p>
    <w:p w14:paraId="231C7CCE" w14:textId="16BDBE54" w:rsidR="004453E0" w:rsidRPr="00641FBB" w:rsidRDefault="00515D77" w:rsidP="00CA4272">
      <w:r w:rsidRPr="00641FBB">
        <w:t xml:space="preserve">Civil society organizations </w:t>
      </w:r>
      <w:r w:rsidR="00141A40" w:rsidRPr="00641FBB">
        <w:t xml:space="preserve">can participate in a number of ways within the ILO. </w:t>
      </w:r>
      <w:r w:rsidRPr="00641FBB">
        <w:t xml:space="preserve">Employers’ and workers’ organizations </w:t>
      </w:r>
      <w:r w:rsidR="00141A40" w:rsidRPr="00641FBB">
        <w:t>elect representatives to form part of the Governing Body</w:t>
      </w:r>
      <w:r w:rsidR="004453E0" w:rsidRPr="00641FBB">
        <w:t xml:space="preserve"> and</w:t>
      </w:r>
      <w:r w:rsidR="00141A40" w:rsidRPr="00641FBB">
        <w:t xml:space="preserve"> </w:t>
      </w:r>
      <w:r w:rsidR="004453E0" w:rsidRPr="00641FBB">
        <w:t>various ILO consultative bodies, where they</w:t>
      </w:r>
      <w:r w:rsidR="00141A40" w:rsidRPr="00641FBB">
        <w:t xml:space="preserve"> enjoy </w:t>
      </w:r>
      <w:r w:rsidR="004453E0" w:rsidRPr="00641FBB">
        <w:t xml:space="preserve">the </w:t>
      </w:r>
      <w:r w:rsidR="00141A40" w:rsidRPr="00641FBB">
        <w:t xml:space="preserve">same level of </w:t>
      </w:r>
      <w:r w:rsidR="004453E0" w:rsidRPr="00641FBB">
        <w:t xml:space="preserve">decision-making </w:t>
      </w:r>
      <w:r w:rsidR="00141A40" w:rsidRPr="00641FBB">
        <w:t>authority as governments</w:t>
      </w:r>
      <w:r w:rsidR="004453E0" w:rsidRPr="00641FBB">
        <w:t xml:space="preserve">. The ILO conventions and recommendations provide </w:t>
      </w:r>
      <w:r w:rsidR="003208F6">
        <w:t>m</w:t>
      </w:r>
      <w:r w:rsidR="004453E0" w:rsidRPr="00641FBB">
        <w:t xml:space="preserve">embers </w:t>
      </w:r>
      <w:r w:rsidR="003208F6">
        <w:t>s</w:t>
      </w:r>
      <w:r w:rsidR="004453E0" w:rsidRPr="00641FBB">
        <w:t xml:space="preserve">tates with procedures for consulting with workers’ and employers’ organizations and their representatives on all ILO matters. </w:t>
      </w:r>
      <w:r w:rsidR="00637C8B" w:rsidRPr="00641FBB">
        <w:t>As outlined above, w</w:t>
      </w:r>
      <w:r w:rsidR="00DD04CF" w:rsidRPr="00641FBB">
        <w:t>orker</w:t>
      </w:r>
      <w:r w:rsidR="00637C8B" w:rsidRPr="00641FBB">
        <w:t xml:space="preserve">s’ and employers’ associations are invited to </w:t>
      </w:r>
      <w:r w:rsidR="00DD04CF" w:rsidRPr="00641FBB">
        <w:t xml:space="preserve">submit information on the </w:t>
      </w:r>
      <w:r w:rsidR="00A3289B" w:rsidRPr="00641FBB">
        <w:t>State party</w:t>
      </w:r>
      <w:r w:rsidR="00F4325F" w:rsidRPr="00641FBB">
        <w:t>’s</w:t>
      </w:r>
      <w:r w:rsidR="00DD04CF" w:rsidRPr="00641FBB">
        <w:t xml:space="preserve"> implementation of </w:t>
      </w:r>
      <w:r w:rsidR="005244D6" w:rsidRPr="00641FBB">
        <w:t xml:space="preserve">a </w:t>
      </w:r>
      <w:r w:rsidR="00DD04CF" w:rsidRPr="00641FBB">
        <w:t>ratified convention</w:t>
      </w:r>
      <w:r w:rsidR="00637C8B" w:rsidRPr="00641FBB">
        <w:t xml:space="preserve"> in preparation of the CEACR’s review of a </w:t>
      </w:r>
      <w:r w:rsidR="003208F6">
        <w:t>s</w:t>
      </w:r>
      <w:r w:rsidR="00F4325F" w:rsidRPr="00641FBB">
        <w:t>tate’s</w:t>
      </w:r>
      <w:r w:rsidR="00637C8B" w:rsidRPr="00641FBB">
        <w:t xml:space="preserve"> report</w:t>
      </w:r>
      <w:r w:rsidR="00DD04CF" w:rsidRPr="00641FBB">
        <w:t xml:space="preserve">. </w:t>
      </w:r>
      <w:r w:rsidR="004453E0" w:rsidRPr="00641FBB">
        <w:t xml:space="preserve">The ILO also provides training and advisory services to </w:t>
      </w:r>
      <w:r w:rsidRPr="00641FBB">
        <w:t>these</w:t>
      </w:r>
      <w:r w:rsidR="004453E0" w:rsidRPr="00641FBB">
        <w:t xml:space="preserve"> organizations.</w:t>
      </w:r>
    </w:p>
    <w:p w14:paraId="60545284" w14:textId="4CBA705A" w:rsidR="00637C8B" w:rsidRPr="00641FBB" w:rsidRDefault="005140C5" w:rsidP="00CA4272">
      <w:r w:rsidRPr="00641FBB">
        <w:t xml:space="preserve">Using the complaints mechanisms </w:t>
      </w:r>
      <w:r w:rsidR="00602EC6" w:rsidRPr="00641FBB">
        <w:t>under “special procedures” (</w:t>
      </w:r>
      <w:r w:rsidRPr="00641FBB">
        <w:t xml:space="preserve">outlined </w:t>
      </w:r>
      <w:r w:rsidR="00F61E2B" w:rsidRPr="00641FBB">
        <w:t>above</w:t>
      </w:r>
      <w:r w:rsidR="00602EC6" w:rsidRPr="00641FBB">
        <w:t>)</w:t>
      </w:r>
      <w:r w:rsidRPr="00641FBB">
        <w:t xml:space="preserve">, employer and workers’ organizations may file complaints with the International Labour Office against a </w:t>
      </w:r>
      <w:r w:rsidR="003208F6">
        <w:t>member s</w:t>
      </w:r>
      <w:r w:rsidRPr="00641FBB">
        <w:t>tate for alleged violations of the ratified convention(s)</w:t>
      </w:r>
      <w:r w:rsidR="00CA4272" w:rsidRPr="00641FBB">
        <w:t xml:space="preserve">. </w:t>
      </w:r>
    </w:p>
    <w:p w14:paraId="06AB3BC2" w14:textId="34A1A607" w:rsidR="00CA4272" w:rsidRPr="00641FBB" w:rsidRDefault="00515D77" w:rsidP="00CA4272">
      <w:r w:rsidRPr="00641FBB">
        <w:t xml:space="preserve">The ILO also works with local, national and regional organizations, such as professional associations, cooperatives, village development committees, water users' committees, rural or urban credit groups, NGOs concerned with local and national development or human rights, indigenous community organizations, and networks of homeworkers, especially women. They participate in the ILO’s technical cooperation activities. </w:t>
      </w:r>
      <w:r w:rsidR="008C0A4C" w:rsidRPr="00641FBB">
        <w:t>With respect to indigenous peoples, t</w:t>
      </w:r>
      <w:r w:rsidR="00703535" w:rsidRPr="00641FBB">
        <w:t xml:space="preserve">he convention encourages </w:t>
      </w:r>
      <w:r w:rsidR="00AC0BC0">
        <w:t>s</w:t>
      </w:r>
      <w:r w:rsidR="00F4325F" w:rsidRPr="00641FBB">
        <w:t>tates</w:t>
      </w:r>
      <w:r w:rsidR="00703535" w:rsidRPr="00641FBB">
        <w:t xml:space="preserve"> to consult </w:t>
      </w:r>
      <w:r w:rsidR="008C0A4C" w:rsidRPr="00641FBB">
        <w:t xml:space="preserve">with them in preparing reports. Indigenous peoples </w:t>
      </w:r>
      <w:r w:rsidR="00703535" w:rsidRPr="00641FBB">
        <w:t>may also affiliate themselves with workers’ associations or form their own workers’ association in order to more directly communicate with the ILO</w:t>
      </w:r>
      <w:r w:rsidR="00CA3DDA" w:rsidRPr="00641FBB">
        <w:t>.</w:t>
      </w:r>
    </w:p>
    <w:p w14:paraId="462A5778" w14:textId="4F8F70C5" w:rsidR="00637C8B" w:rsidRPr="00641FBB" w:rsidRDefault="00597213" w:rsidP="00CA4272">
      <w:r w:rsidRPr="00641FBB">
        <w:t>In addition to integrating NGOs in its tripartite structure</w:t>
      </w:r>
      <w:r w:rsidR="00637C8B" w:rsidRPr="00641FBB">
        <w:t>, international non-governmental organizations recognized by the ILO enjoy</w:t>
      </w:r>
      <w:r w:rsidRPr="00641FBB">
        <w:t xml:space="preserve"> consultative status, which allows them to express their views on issues discussed at ILO meetings even though they do not have the right to vote</w:t>
      </w:r>
      <w:r w:rsidR="00637C8B" w:rsidRPr="00641FBB">
        <w:t xml:space="preserve">. </w:t>
      </w:r>
      <w:r w:rsidR="00B450D1" w:rsidRPr="00641FBB">
        <w:t xml:space="preserve">Also, NGOs that </w:t>
      </w:r>
      <w:r w:rsidR="00B0773E">
        <w:t xml:space="preserve">are </w:t>
      </w:r>
      <w:r w:rsidR="00B450D1" w:rsidRPr="00641FBB">
        <w:t>part of</w:t>
      </w:r>
      <w:r w:rsidRPr="00641FBB">
        <w:t xml:space="preserve"> the</w:t>
      </w:r>
      <w:r w:rsidR="00B450D1" w:rsidRPr="00641FBB">
        <w:t xml:space="preserve"> “Special List</w:t>
      </w:r>
      <w:r w:rsidRPr="00641FBB">
        <w:t>”</w:t>
      </w:r>
      <w:r w:rsidR="00B450D1" w:rsidRPr="00641FBB">
        <w:t xml:space="preserve"> have working relations with the ILO as they </w:t>
      </w:r>
      <w:r w:rsidR="00B0773E">
        <w:t xml:space="preserve">are </w:t>
      </w:r>
      <w:r w:rsidR="00B450D1" w:rsidRPr="00641FBB">
        <w:t xml:space="preserve">understood to share the ILO’s principles and objectives. Finally, </w:t>
      </w:r>
      <w:r w:rsidR="00637C8B" w:rsidRPr="00641FBB">
        <w:t>International non-governmental organizations can also</w:t>
      </w:r>
      <w:r w:rsidRPr="00641FBB">
        <w:t xml:space="preserve"> limit their level of engagement</w:t>
      </w:r>
      <w:r w:rsidR="00637C8B" w:rsidRPr="00641FBB">
        <w:t xml:space="preserve"> </w:t>
      </w:r>
      <w:r w:rsidRPr="00641FBB">
        <w:t>and only attend</w:t>
      </w:r>
      <w:r w:rsidR="00637C8B" w:rsidRPr="00641FBB">
        <w:t xml:space="preserve"> ILO meetings</w:t>
      </w:r>
      <w:r w:rsidR="00B450D1" w:rsidRPr="00641FBB">
        <w:t xml:space="preserve"> based on their specific interests</w:t>
      </w:r>
      <w:r w:rsidR="00637C8B" w:rsidRPr="00641FBB">
        <w:t>.</w:t>
      </w:r>
    </w:p>
    <w:p w14:paraId="05BBF413" w14:textId="611CD86C" w:rsidR="00141A40" w:rsidRPr="00641FBB" w:rsidRDefault="00141A40" w:rsidP="00CA4272">
      <w:r w:rsidRPr="00641FBB">
        <w:t>For more information</w:t>
      </w:r>
      <w:r w:rsidR="00637C8B" w:rsidRPr="00641FBB">
        <w:t xml:space="preserve"> on civil society participation opportunities</w:t>
      </w:r>
      <w:r w:rsidRPr="00641FBB">
        <w:t xml:space="preserve">, visit: </w:t>
      </w:r>
      <w:hyperlink r:id="rId33" w:history="1">
        <w:r w:rsidRPr="00641FBB">
          <w:rPr>
            <w:rStyle w:val="Hyperlink"/>
          </w:rPr>
          <w:t>www.ilo.org/pardev/civil-society/lang--en/index.htm</w:t>
        </w:r>
      </w:hyperlink>
      <w:r w:rsidRPr="00641FBB">
        <w:t>.</w:t>
      </w:r>
    </w:p>
    <w:p w14:paraId="5A84AA00" w14:textId="77777777" w:rsidR="00610F42" w:rsidRPr="00641FBB" w:rsidRDefault="00610F42" w:rsidP="00F343AE">
      <w:pPr>
        <w:pStyle w:val="Heading4"/>
      </w:pPr>
      <w:r w:rsidRPr="00641FBB">
        <w:t>Contact Information</w:t>
      </w:r>
    </w:p>
    <w:p w14:paraId="12929436" w14:textId="77777777" w:rsidR="00F343AE" w:rsidRPr="00641FBB" w:rsidRDefault="00F343AE" w:rsidP="00F343AE">
      <w:pPr>
        <w:pStyle w:val="NoSpacing"/>
      </w:pPr>
    </w:p>
    <w:p w14:paraId="2E7AA67B" w14:textId="77777777" w:rsidR="00610F42" w:rsidRPr="00641FBB" w:rsidRDefault="00610F42" w:rsidP="00610F42">
      <w:pPr>
        <w:pStyle w:val="NoSpacing"/>
      </w:pPr>
      <w:r w:rsidRPr="00641FBB">
        <w:t>4 route des Morillons</w:t>
      </w:r>
    </w:p>
    <w:p w14:paraId="7C9E6027" w14:textId="5F57AE99" w:rsidR="00610F42" w:rsidRPr="00641FBB" w:rsidRDefault="00610F42" w:rsidP="00610F42">
      <w:pPr>
        <w:pStyle w:val="NoSpacing"/>
      </w:pPr>
      <w:r w:rsidRPr="00641FBB">
        <w:t>CH-1211 Genève 22</w:t>
      </w:r>
      <w:r w:rsidR="00602EC6" w:rsidRPr="00641FBB">
        <w:t xml:space="preserve">, </w:t>
      </w:r>
      <w:r w:rsidRPr="00641FBB">
        <w:t>Switzerland</w:t>
      </w:r>
    </w:p>
    <w:p w14:paraId="62DBBB97" w14:textId="77777777" w:rsidR="00610F42" w:rsidRPr="00641FBB" w:rsidRDefault="00610F42" w:rsidP="00610F42">
      <w:pPr>
        <w:pStyle w:val="NoSpacing"/>
      </w:pPr>
    </w:p>
    <w:p w14:paraId="22B880C6" w14:textId="6C9EFF2B" w:rsidR="00610F42" w:rsidRPr="00641FBB" w:rsidRDefault="00CA3DDA" w:rsidP="00610F42">
      <w:pPr>
        <w:pStyle w:val="NoSpacing"/>
      </w:pPr>
      <w:r w:rsidRPr="00641FBB">
        <w:t>Tel.</w:t>
      </w:r>
      <w:r w:rsidR="00610F42" w:rsidRPr="00641FBB">
        <w:t>: +41 (0) 22 799 6111</w:t>
      </w:r>
    </w:p>
    <w:p w14:paraId="1B30FB82" w14:textId="77777777" w:rsidR="00610F42" w:rsidRPr="00641FBB" w:rsidRDefault="00610F42" w:rsidP="00610F42">
      <w:pPr>
        <w:pStyle w:val="NoSpacing"/>
      </w:pPr>
      <w:r w:rsidRPr="00641FBB">
        <w:t>Fax: +41 (0) 22 798 8685</w:t>
      </w:r>
    </w:p>
    <w:p w14:paraId="60967F78" w14:textId="77777777" w:rsidR="00CA3DDA" w:rsidRPr="00641FBB" w:rsidRDefault="00CA3DDA" w:rsidP="00CA3DDA">
      <w:pPr>
        <w:pStyle w:val="NoSpacing"/>
      </w:pPr>
      <w:r w:rsidRPr="00641FBB">
        <w:t xml:space="preserve">E-mail: </w:t>
      </w:r>
      <w:hyperlink r:id="rId34" w:history="1">
        <w:r w:rsidRPr="00641FBB">
          <w:rPr>
            <w:rStyle w:val="Hyperlink"/>
          </w:rPr>
          <w:t>ilo@ilo.org</w:t>
        </w:r>
      </w:hyperlink>
      <w:r w:rsidRPr="00641FBB">
        <w:t xml:space="preserve"> </w:t>
      </w:r>
    </w:p>
    <w:p w14:paraId="642C54AB" w14:textId="3FD51E37" w:rsidR="00881E11" w:rsidRPr="00641FBB" w:rsidRDefault="00610F42" w:rsidP="00CA3DDA">
      <w:pPr>
        <w:pStyle w:val="NoSpacing"/>
      </w:pPr>
      <w:r w:rsidRPr="00641FBB">
        <w:t xml:space="preserve">Website: </w:t>
      </w:r>
      <w:hyperlink r:id="rId35" w:history="1">
        <w:r w:rsidRPr="00641FBB">
          <w:rPr>
            <w:rStyle w:val="Hyperlink"/>
          </w:rPr>
          <w:t>www.ilo.org</w:t>
        </w:r>
      </w:hyperlink>
      <w:r w:rsidR="00CA3DDA" w:rsidRPr="00641FBB">
        <w:t xml:space="preserve"> </w:t>
      </w:r>
    </w:p>
    <w:p w14:paraId="4DC8C4E4" w14:textId="77777777" w:rsidR="007D5046" w:rsidRPr="00641FBB" w:rsidRDefault="00CA4CDB" w:rsidP="00F343AE">
      <w:pPr>
        <w:pStyle w:val="Heading2"/>
      </w:pPr>
      <w:r w:rsidRPr="00641FBB">
        <w:t>UN Charter Bodies</w:t>
      </w:r>
    </w:p>
    <w:p w14:paraId="2A363692" w14:textId="77777777" w:rsidR="00CA4CDB" w:rsidRPr="00641FBB" w:rsidRDefault="00CA4CDB" w:rsidP="00CA4CDB">
      <w:r w:rsidRPr="00641FBB">
        <w:t xml:space="preserve">In addition to the treaty bodies above, there are a number of bodies created for the protection </w:t>
      </w:r>
      <w:r w:rsidR="007F6F13" w:rsidRPr="00641FBB">
        <w:t>and promotion of human rights</w:t>
      </w:r>
      <w:r w:rsidRPr="00641FBB">
        <w:t xml:space="preserve"> under the Charter of the United Nations.</w:t>
      </w:r>
    </w:p>
    <w:p w14:paraId="7CD84D69" w14:textId="696AF2DD" w:rsidR="007F6F13" w:rsidRPr="00641FBB" w:rsidRDefault="00F86CF4" w:rsidP="00F343AE">
      <w:pPr>
        <w:pStyle w:val="Heading3"/>
      </w:pPr>
      <w:r w:rsidRPr="00641FBB">
        <w:t>Human Rights Council</w:t>
      </w:r>
    </w:p>
    <w:p w14:paraId="111EB533" w14:textId="27A78328" w:rsidR="007F6F13" w:rsidRPr="00641FBB" w:rsidRDefault="007F6F13" w:rsidP="007F6F13">
      <w:r w:rsidRPr="00641FBB">
        <w:t xml:space="preserve">The Human Rights </w:t>
      </w:r>
      <w:r w:rsidR="00F80778" w:rsidRPr="00641FBB">
        <w:t>Council (HRC) is the principal charter</w:t>
      </w:r>
      <w:r w:rsidR="00515D77" w:rsidRPr="00641FBB">
        <w:t xml:space="preserve"> body of the UN system, which </w:t>
      </w:r>
      <w:r w:rsidR="00F80778" w:rsidRPr="00641FBB">
        <w:t xml:space="preserve">replaced the Commission on Human Rights in 2006 and is not to be confused with </w:t>
      </w:r>
      <w:r w:rsidR="006E3975" w:rsidRPr="00641FBB">
        <w:t>the</w:t>
      </w:r>
      <w:r w:rsidR="00F80778" w:rsidRPr="00641FBB">
        <w:t xml:space="preserve"> Human Rights Committee</w:t>
      </w:r>
      <w:r w:rsidR="00C93579" w:rsidRPr="00641FBB">
        <w:t xml:space="preserve"> (CCPR)</w:t>
      </w:r>
      <w:r w:rsidR="00F80778" w:rsidRPr="00641FBB">
        <w:t xml:space="preserve"> created by the ICCPR. The HRC is a subsidiary organ of the United Nations General Assembly </w:t>
      </w:r>
      <w:r w:rsidR="00515D77" w:rsidRPr="00641FBB">
        <w:t xml:space="preserve">that addresses situations of human rights violations, including gross and systematic </w:t>
      </w:r>
      <w:r w:rsidR="00F80778" w:rsidRPr="00641FBB">
        <w:t>violations</w:t>
      </w:r>
      <w:r w:rsidR="00515D77" w:rsidRPr="00641FBB">
        <w:t>.</w:t>
      </w:r>
    </w:p>
    <w:p w14:paraId="4D923A1E" w14:textId="3D85D5E8" w:rsidR="006E3975" w:rsidRPr="00641FBB" w:rsidRDefault="00F80778" w:rsidP="007F6F13">
      <w:r w:rsidRPr="00641FBB">
        <w:t xml:space="preserve">The HRC has four </w:t>
      </w:r>
      <w:r w:rsidR="006E3975" w:rsidRPr="00641FBB">
        <w:t>mechanisms</w:t>
      </w:r>
      <w:r w:rsidRPr="00641FBB">
        <w:t xml:space="preserve"> for monitoring human rights: </w:t>
      </w:r>
    </w:p>
    <w:p w14:paraId="658E3CCD" w14:textId="4B35EA54" w:rsidR="006E3975" w:rsidRPr="00641FBB" w:rsidRDefault="006E3975" w:rsidP="006E3975">
      <w:pPr>
        <w:pStyle w:val="ListParagraph"/>
        <w:numPr>
          <w:ilvl w:val="0"/>
          <w:numId w:val="12"/>
        </w:numPr>
      </w:pPr>
      <w:r w:rsidRPr="00641FBB">
        <w:t xml:space="preserve">Universal Periodic </w:t>
      </w:r>
      <w:r w:rsidR="004F14DC" w:rsidRPr="00641FBB">
        <w:t>Review (UPR);</w:t>
      </w:r>
    </w:p>
    <w:p w14:paraId="0277D4CF" w14:textId="2C4B1082" w:rsidR="006E3975" w:rsidRPr="00641FBB" w:rsidRDefault="00F80778" w:rsidP="006E3975">
      <w:pPr>
        <w:pStyle w:val="ListParagraph"/>
        <w:numPr>
          <w:ilvl w:val="0"/>
          <w:numId w:val="12"/>
        </w:numPr>
      </w:pPr>
      <w:r w:rsidRPr="00641FBB">
        <w:t>Special Procedures</w:t>
      </w:r>
      <w:r w:rsidR="004F14DC" w:rsidRPr="00641FBB">
        <w:t>;</w:t>
      </w:r>
    </w:p>
    <w:p w14:paraId="15358D5A" w14:textId="5F6905AE" w:rsidR="006E3975" w:rsidRPr="00641FBB" w:rsidRDefault="00F80778" w:rsidP="006E3975">
      <w:pPr>
        <w:pStyle w:val="ListParagraph"/>
        <w:numPr>
          <w:ilvl w:val="0"/>
          <w:numId w:val="12"/>
        </w:numPr>
      </w:pPr>
      <w:r w:rsidRPr="00641FBB">
        <w:t>Human Rig</w:t>
      </w:r>
      <w:r w:rsidR="004F14DC" w:rsidRPr="00641FBB">
        <w:t>hts Council Advisory Committee;</w:t>
      </w:r>
      <w:r w:rsidR="006E3975" w:rsidRPr="00641FBB">
        <w:t xml:space="preserve"> </w:t>
      </w:r>
      <w:r w:rsidRPr="00641FBB">
        <w:t xml:space="preserve">and </w:t>
      </w:r>
    </w:p>
    <w:p w14:paraId="621A2956" w14:textId="3ACD03CB" w:rsidR="00F80778" w:rsidRPr="00641FBB" w:rsidRDefault="006E3975" w:rsidP="006E3975">
      <w:pPr>
        <w:pStyle w:val="ListParagraph"/>
        <w:numPr>
          <w:ilvl w:val="0"/>
          <w:numId w:val="12"/>
        </w:numPr>
      </w:pPr>
      <w:r w:rsidRPr="00641FBB">
        <w:t xml:space="preserve">Human Rights Council </w:t>
      </w:r>
      <w:r w:rsidR="00F80778" w:rsidRPr="00641FBB">
        <w:t>Complaints Procedure.</w:t>
      </w:r>
    </w:p>
    <w:p w14:paraId="2EFB25A9" w14:textId="6716458E" w:rsidR="00F86CF4" w:rsidRPr="00641FBB" w:rsidRDefault="00F86CF4" w:rsidP="007F6F13">
      <w:r w:rsidRPr="00641FBB">
        <w:t xml:space="preserve">For more information, visit: </w:t>
      </w:r>
      <w:hyperlink r:id="rId36" w:history="1">
        <w:r w:rsidRPr="00641FBB">
          <w:rPr>
            <w:rStyle w:val="Hyperlink"/>
          </w:rPr>
          <w:t>www.ohchr.org/EN/HRBodies/HRC/Pages/HRCIndex.aspx</w:t>
        </w:r>
      </w:hyperlink>
      <w:r w:rsidRPr="00641FBB">
        <w:t xml:space="preserve">. </w:t>
      </w:r>
    </w:p>
    <w:p w14:paraId="20B0B0D8" w14:textId="0C7E8FA3" w:rsidR="00F80778" w:rsidRPr="00641FBB" w:rsidRDefault="00F86CF4" w:rsidP="004C42C3">
      <w:pPr>
        <w:pStyle w:val="Heading3"/>
      </w:pPr>
      <w:r w:rsidRPr="00641FBB">
        <w:t>Universal Periodic Review</w:t>
      </w:r>
    </w:p>
    <w:p w14:paraId="344005B0" w14:textId="14EF379F" w:rsidR="00F86CF4" w:rsidRPr="00641FBB" w:rsidRDefault="00BB528C" w:rsidP="00F86CF4">
      <w:r>
        <w:t>Established as part of the Human Rights Council’s mandate, t</w:t>
      </w:r>
      <w:r w:rsidRPr="00641FBB">
        <w:t xml:space="preserve">he </w:t>
      </w:r>
      <w:r w:rsidR="00F86CF4" w:rsidRPr="00641FBB">
        <w:t>Universal Periodic Review (UPR) consists of a regular review of the human rights records of all UN Member States. It was established in 2008 and complet</w:t>
      </w:r>
      <w:r w:rsidR="006E3975" w:rsidRPr="00641FBB">
        <w:t>ed the first review of all 193 M</w:t>
      </w:r>
      <w:r w:rsidR="00F86CF4" w:rsidRPr="00641FBB">
        <w:t xml:space="preserve">ember </w:t>
      </w:r>
      <w:r w:rsidR="006E3975" w:rsidRPr="00641FBB">
        <w:t>S</w:t>
      </w:r>
      <w:r w:rsidR="00F86CF4" w:rsidRPr="00641FBB">
        <w:t>tates in 2011. The UPR – much as with the above</w:t>
      </w:r>
      <w:r w:rsidR="006E3975" w:rsidRPr="00641FBB">
        <w:t>-mentioned</w:t>
      </w:r>
      <w:r w:rsidR="00F86CF4" w:rsidRPr="00641FBB">
        <w:t xml:space="preserve"> committees – requires State</w:t>
      </w:r>
      <w:r w:rsidR="00A3289B" w:rsidRPr="00641FBB">
        <w:t>s</w:t>
      </w:r>
      <w:r w:rsidR="00F86CF4" w:rsidRPr="00641FBB">
        <w:t xml:space="preserve"> </w:t>
      </w:r>
      <w:r w:rsidR="00A3289B" w:rsidRPr="00641FBB">
        <w:t>p</w:t>
      </w:r>
      <w:r w:rsidR="00F86CF4" w:rsidRPr="00641FBB">
        <w:t xml:space="preserve">arties to submit reports on the actions </w:t>
      </w:r>
      <w:r w:rsidR="006E3975" w:rsidRPr="00641FBB">
        <w:t xml:space="preserve">that </w:t>
      </w:r>
      <w:r w:rsidR="00F86CF4" w:rsidRPr="00641FBB">
        <w:t xml:space="preserve">they have taken to improve human rights in their country and fulfill human rights obligations.  </w:t>
      </w:r>
    </w:p>
    <w:p w14:paraId="1B07CCD3" w14:textId="67A90A2C" w:rsidR="008651CC" w:rsidRPr="00641FBB" w:rsidRDefault="00F86CF4" w:rsidP="00F86CF4">
      <w:r w:rsidRPr="00641FBB">
        <w:t xml:space="preserve">The UPR is not limited to specific treaty obligations, so it is able to consider a broader range of human rights issues than any of the individual committees. </w:t>
      </w:r>
      <w:r w:rsidR="006E3975" w:rsidRPr="00641FBB">
        <w:t>Th</w:t>
      </w:r>
      <w:r w:rsidRPr="00641FBB">
        <w:t>e UPR</w:t>
      </w:r>
      <w:r w:rsidR="006E3975" w:rsidRPr="00641FBB">
        <w:t xml:space="preserve"> complements the committees</w:t>
      </w:r>
      <w:r w:rsidR="005244D6" w:rsidRPr="00641FBB">
        <w:t xml:space="preserve">; it does not </w:t>
      </w:r>
      <w:r w:rsidR="006E3975" w:rsidRPr="00641FBB">
        <w:t>replace them.</w:t>
      </w:r>
    </w:p>
    <w:p w14:paraId="154985F5" w14:textId="77777777" w:rsidR="007F6F13" w:rsidRPr="00641FBB" w:rsidRDefault="008651CC" w:rsidP="004C42C3">
      <w:pPr>
        <w:pStyle w:val="Heading4"/>
      </w:pPr>
      <w:r w:rsidRPr="00641FBB">
        <w:t>Civil Society Participation</w:t>
      </w:r>
    </w:p>
    <w:p w14:paraId="40A4D089" w14:textId="042FC07E" w:rsidR="008651CC" w:rsidRPr="00641FBB" w:rsidRDefault="008651CC" w:rsidP="008651CC">
      <w:r w:rsidRPr="00641FBB">
        <w:t xml:space="preserve">NGOs can submit “shadow reports” to the HRC on any aspect of a </w:t>
      </w:r>
      <w:r w:rsidR="00AC0BC0">
        <w:t>s</w:t>
      </w:r>
      <w:r w:rsidR="00F4325F" w:rsidRPr="00641FBB">
        <w:t>tate’s</w:t>
      </w:r>
      <w:r w:rsidRPr="00641FBB">
        <w:t xml:space="preserve"> compliance </w:t>
      </w:r>
      <w:r w:rsidR="006E3975" w:rsidRPr="00641FBB">
        <w:t xml:space="preserve">with </w:t>
      </w:r>
      <w:r w:rsidRPr="00641FBB">
        <w:t>human rights</w:t>
      </w:r>
      <w:r w:rsidR="006E3975" w:rsidRPr="00641FBB">
        <w:t xml:space="preserve"> standards</w:t>
      </w:r>
      <w:r w:rsidRPr="00641FBB">
        <w:t xml:space="preserve">. </w:t>
      </w:r>
      <w:r w:rsidR="00CD6F71" w:rsidRPr="00641FBB">
        <w:t xml:space="preserve">Additionally, civil society organizations with consultative status with the United Nations Economic and Social Council (ECOSOC) are allowed to participate in the working group session and the adoption of the UPR for the relevant country. </w:t>
      </w:r>
      <w:r w:rsidRPr="00641FBB">
        <w:t>A schedule of countries coming up for UPR is maintained on the</w:t>
      </w:r>
      <w:r w:rsidR="00F86CF4" w:rsidRPr="00641FBB">
        <w:t xml:space="preserve"> HRC</w:t>
      </w:r>
      <w:r w:rsidRPr="00641FBB">
        <w:t>’s website</w:t>
      </w:r>
      <w:r w:rsidR="00F86CF4" w:rsidRPr="00641FBB">
        <w:t xml:space="preserve">: </w:t>
      </w:r>
      <w:hyperlink r:id="rId37" w:history="1">
        <w:r w:rsidR="001315CD" w:rsidRPr="00641FBB">
          <w:rPr>
            <w:rStyle w:val="Hyperlink"/>
          </w:rPr>
          <w:t>http://www.ohchr.org/EN/HRBodies/UPR/Pages/UPRMain.aspx</w:t>
        </w:r>
      </w:hyperlink>
      <w:r w:rsidR="001315CD" w:rsidRPr="00641FBB">
        <w:t>.</w:t>
      </w:r>
    </w:p>
    <w:p w14:paraId="0DE0EB05" w14:textId="650D60E9" w:rsidR="00CD6F71" w:rsidRPr="00641FBB" w:rsidRDefault="00CD6F71" w:rsidP="00CD6F71">
      <w:r w:rsidRPr="00641FBB">
        <w:t>The HRC has published a practical guide on civil society participation in the UPR process</w:t>
      </w:r>
      <w:r w:rsidR="006E3975" w:rsidRPr="00641FBB">
        <w:t>, which is accessible</w:t>
      </w:r>
      <w:r w:rsidRPr="00641FBB">
        <w:t xml:space="preserve"> at: </w:t>
      </w:r>
      <w:hyperlink r:id="rId38" w:history="1">
        <w:r w:rsidRPr="00641FBB">
          <w:rPr>
            <w:rStyle w:val="Hyperlink"/>
          </w:rPr>
          <w:t>http://www.ohchr.org/EN/HRBodies/UPR/Documents/PracticalGuideCivilSociety.pdf</w:t>
        </w:r>
      </w:hyperlink>
    </w:p>
    <w:p w14:paraId="08A4CABA" w14:textId="77777777" w:rsidR="00CD6F71" w:rsidRPr="00641FBB" w:rsidRDefault="00CD6F71" w:rsidP="004C42C3">
      <w:pPr>
        <w:pStyle w:val="Heading3"/>
      </w:pPr>
      <w:r w:rsidRPr="00641FBB">
        <w:t>Special Procedures</w:t>
      </w:r>
    </w:p>
    <w:p w14:paraId="350205FB" w14:textId="18370FE1" w:rsidR="00CD6F71" w:rsidRPr="00641FBB" w:rsidRDefault="00F13A85" w:rsidP="00CD6F71">
      <w:r w:rsidRPr="00641FBB">
        <w:t>“Special Procedures” is the gene</w:t>
      </w:r>
      <w:r w:rsidR="00811B13" w:rsidRPr="00641FBB">
        <w:t>ral term given to individuals (</w:t>
      </w:r>
      <w:r w:rsidRPr="00641FBB">
        <w:t xml:space="preserve">known as </w:t>
      </w:r>
      <w:r w:rsidR="006E3975" w:rsidRPr="00641FBB">
        <w:t>“</w:t>
      </w:r>
      <w:r w:rsidRPr="00641FBB">
        <w:t>Special Rapporteurs,</w:t>
      </w:r>
      <w:r w:rsidR="006E3975" w:rsidRPr="00641FBB">
        <w:t>”</w:t>
      </w:r>
      <w:r w:rsidRPr="00641FBB">
        <w:t xml:space="preserve"> </w:t>
      </w:r>
      <w:r w:rsidR="006E3975" w:rsidRPr="00641FBB">
        <w:t>“</w:t>
      </w:r>
      <w:r w:rsidRPr="00641FBB">
        <w:t>Special Representatives,</w:t>
      </w:r>
      <w:r w:rsidR="006E3975" w:rsidRPr="00641FBB">
        <w:t>”</w:t>
      </w:r>
      <w:r w:rsidRPr="00641FBB">
        <w:t xml:space="preserve"> or </w:t>
      </w:r>
      <w:r w:rsidR="006E3975" w:rsidRPr="00641FBB">
        <w:t>“</w:t>
      </w:r>
      <w:r w:rsidRPr="00641FBB">
        <w:t>Independent Experts</w:t>
      </w:r>
      <w:r w:rsidR="006E3975" w:rsidRPr="00641FBB">
        <w:t>”</w:t>
      </w:r>
      <w:r w:rsidR="00811B13" w:rsidRPr="00641FBB">
        <w:t>)</w:t>
      </w:r>
      <w:r w:rsidRPr="00641FBB">
        <w:t xml:space="preserve"> or to groups </w:t>
      </w:r>
      <w:r w:rsidR="00811B13" w:rsidRPr="00641FBB">
        <w:t>(</w:t>
      </w:r>
      <w:r w:rsidRPr="00641FBB">
        <w:t xml:space="preserve">known as </w:t>
      </w:r>
      <w:r w:rsidR="006E3975" w:rsidRPr="00641FBB">
        <w:t>“</w:t>
      </w:r>
      <w:r w:rsidRPr="00641FBB">
        <w:t>working groups</w:t>
      </w:r>
      <w:r w:rsidR="006E3975" w:rsidRPr="00641FBB">
        <w:t>”</w:t>
      </w:r>
      <w:r w:rsidR="00811B13" w:rsidRPr="00641FBB">
        <w:t>)</w:t>
      </w:r>
      <w:r w:rsidRPr="00641FBB">
        <w:t xml:space="preserve"> that are mandated by the </w:t>
      </w:r>
      <w:r w:rsidR="00ED5C05" w:rsidRPr="00641FBB">
        <w:t>H</w:t>
      </w:r>
      <w:r w:rsidR="00811B13" w:rsidRPr="00641FBB">
        <w:t xml:space="preserve">uman </w:t>
      </w:r>
      <w:r w:rsidR="00ED5C05" w:rsidRPr="00641FBB">
        <w:t>R</w:t>
      </w:r>
      <w:r w:rsidR="00811B13" w:rsidRPr="00641FBB">
        <w:t xml:space="preserve">ights </w:t>
      </w:r>
      <w:r w:rsidR="00ED5C05" w:rsidRPr="00641FBB">
        <w:t>C</w:t>
      </w:r>
      <w:r w:rsidR="00811B13" w:rsidRPr="00641FBB">
        <w:t>ouncil (HRC)</w:t>
      </w:r>
      <w:r w:rsidRPr="00641FBB">
        <w:t xml:space="preserve"> to </w:t>
      </w:r>
      <w:r w:rsidR="00884008" w:rsidRPr="00641FBB">
        <w:t xml:space="preserve">investigate and address </w:t>
      </w:r>
      <w:r w:rsidRPr="00641FBB">
        <w:t>specific country situations or thematic issues throughout</w:t>
      </w:r>
      <w:r w:rsidR="00F86CF4" w:rsidRPr="00641FBB">
        <w:t xml:space="preserve"> the world. </w:t>
      </w:r>
      <w:r w:rsidR="007649D8">
        <w:t xml:space="preserve"> At the time of this writing, the OHCHR web page (see link below) notes that a</w:t>
      </w:r>
      <w:r w:rsidR="006E3975" w:rsidRPr="00641FBB">
        <w:t>s of</w:t>
      </w:r>
      <w:r w:rsidR="00F86CF4" w:rsidRPr="00641FBB">
        <w:t xml:space="preserve"> </w:t>
      </w:r>
      <w:r w:rsidR="00C8393A" w:rsidRPr="00641FBB">
        <w:t>October</w:t>
      </w:r>
      <w:r w:rsidR="006E3975" w:rsidRPr="00641FBB">
        <w:t xml:space="preserve"> 1,</w:t>
      </w:r>
      <w:r w:rsidR="00F86CF4" w:rsidRPr="00641FBB">
        <w:t xml:space="preserve"> 2013, there are 3</w:t>
      </w:r>
      <w:r w:rsidR="00C8393A" w:rsidRPr="00641FBB">
        <w:t>7</w:t>
      </w:r>
      <w:r w:rsidR="00F86CF4" w:rsidRPr="00641FBB">
        <w:t xml:space="preserve"> thematic and 1</w:t>
      </w:r>
      <w:r w:rsidR="00C8393A" w:rsidRPr="00641FBB">
        <w:t>4</w:t>
      </w:r>
      <w:r w:rsidR="00F86CF4" w:rsidRPr="00641FBB">
        <w:t xml:space="preserve"> country-</w:t>
      </w:r>
      <w:r w:rsidRPr="00641FBB">
        <w:t>specific Special Procedures.</w:t>
      </w:r>
    </w:p>
    <w:p w14:paraId="29AC41CE" w14:textId="1C70199C" w:rsidR="00F13A85" w:rsidRPr="00641FBB" w:rsidRDefault="00F13A85" w:rsidP="00CD6F71">
      <w:r w:rsidRPr="00641FBB">
        <w:t xml:space="preserve">The thematic Special Procedures </w:t>
      </w:r>
      <w:r w:rsidR="00F86CF4" w:rsidRPr="00641FBB">
        <w:t xml:space="preserve">that are </w:t>
      </w:r>
      <w:r w:rsidRPr="00641FBB">
        <w:t xml:space="preserve">most relevant </w:t>
      </w:r>
      <w:r w:rsidR="00CF72BE" w:rsidRPr="00641FBB">
        <w:t>to</w:t>
      </w:r>
      <w:r w:rsidR="00CF72BE">
        <w:t xml:space="preserve"> human rights in </w:t>
      </w:r>
      <w:r w:rsidR="0089282F" w:rsidRPr="00641FBB">
        <w:t>patient care</w:t>
      </w:r>
      <w:r w:rsidRPr="00641FBB">
        <w:t xml:space="preserve"> include:</w:t>
      </w:r>
    </w:p>
    <w:p w14:paraId="50654A96" w14:textId="6F9A66F5" w:rsidR="00F13A85" w:rsidRPr="00641FBB" w:rsidRDefault="00853744" w:rsidP="003C2CF1">
      <w:pPr>
        <w:pStyle w:val="ListParagraph"/>
        <w:numPr>
          <w:ilvl w:val="0"/>
          <w:numId w:val="9"/>
        </w:numPr>
      </w:pPr>
      <w:r w:rsidRPr="00641FBB">
        <w:t>Special Rapporteur on the right of everyone to the enjoyment of the highest attainable standard of physical and mental health</w:t>
      </w:r>
      <w:r w:rsidR="004F14DC" w:rsidRPr="00641FBB">
        <w:t>;</w:t>
      </w:r>
    </w:p>
    <w:p w14:paraId="45AEA1C1" w14:textId="1246F17D" w:rsidR="00853744" w:rsidRPr="00641FBB" w:rsidRDefault="00853744" w:rsidP="003C2CF1">
      <w:pPr>
        <w:pStyle w:val="ListParagraph"/>
        <w:numPr>
          <w:ilvl w:val="0"/>
          <w:numId w:val="9"/>
        </w:numPr>
      </w:pPr>
      <w:r w:rsidRPr="00641FBB">
        <w:t>Working Group on arbitrary detention</w:t>
      </w:r>
      <w:r w:rsidR="004F14DC" w:rsidRPr="00641FBB">
        <w:t>;</w:t>
      </w:r>
    </w:p>
    <w:p w14:paraId="517E3739" w14:textId="2C5C794C" w:rsidR="00853744" w:rsidRPr="00641FBB" w:rsidRDefault="00853744" w:rsidP="003C2CF1">
      <w:pPr>
        <w:pStyle w:val="ListParagraph"/>
        <w:numPr>
          <w:ilvl w:val="0"/>
          <w:numId w:val="9"/>
        </w:numPr>
      </w:pPr>
      <w:r w:rsidRPr="00641FBB">
        <w:t>Special Rapporteur on torture and other cruel, inhuman or degrading treatment or punishment</w:t>
      </w:r>
      <w:r w:rsidR="004F14DC" w:rsidRPr="00641FBB">
        <w:t>;</w:t>
      </w:r>
    </w:p>
    <w:p w14:paraId="7F0E9E9D" w14:textId="6A74B3C5" w:rsidR="00853744" w:rsidRPr="00641FBB" w:rsidRDefault="00853744" w:rsidP="003C2CF1">
      <w:pPr>
        <w:pStyle w:val="ListParagraph"/>
        <w:numPr>
          <w:ilvl w:val="0"/>
          <w:numId w:val="9"/>
        </w:numPr>
      </w:pPr>
      <w:r w:rsidRPr="00641FBB">
        <w:t>Special Rapporteur on the promotion and protection of the right to freedom of opinion and expression</w:t>
      </w:r>
      <w:r w:rsidR="004F14DC" w:rsidRPr="00641FBB">
        <w:t>;</w:t>
      </w:r>
    </w:p>
    <w:p w14:paraId="12DBA1DC" w14:textId="11595350" w:rsidR="00853744" w:rsidRPr="00641FBB" w:rsidRDefault="00853744" w:rsidP="003C2CF1">
      <w:pPr>
        <w:pStyle w:val="ListParagraph"/>
        <w:numPr>
          <w:ilvl w:val="0"/>
          <w:numId w:val="9"/>
        </w:numPr>
      </w:pPr>
      <w:r w:rsidRPr="00641FBB">
        <w:t>Special Rapporteur on the rights to freedom of peaceful assembly and of association</w:t>
      </w:r>
      <w:r w:rsidR="004F14DC" w:rsidRPr="00641FBB">
        <w:t>;</w:t>
      </w:r>
    </w:p>
    <w:p w14:paraId="58EB32A9" w14:textId="1F40312A" w:rsidR="00F13A85" w:rsidRPr="00641FBB" w:rsidRDefault="00853744" w:rsidP="003C2CF1">
      <w:pPr>
        <w:pStyle w:val="ListParagraph"/>
        <w:numPr>
          <w:ilvl w:val="0"/>
          <w:numId w:val="9"/>
        </w:numPr>
      </w:pPr>
      <w:r w:rsidRPr="00641FBB">
        <w:t>Special Rapporteur on violence against women, its causes and consequences</w:t>
      </w:r>
      <w:r w:rsidR="004F14DC" w:rsidRPr="00641FBB">
        <w:t>;</w:t>
      </w:r>
      <w:r w:rsidR="004B62BB" w:rsidRPr="00641FBB">
        <w:t xml:space="preserve"> and</w:t>
      </w:r>
    </w:p>
    <w:p w14:paraId="4CD071DC" w14:textId="605D76C9" w:rsidR="00853744" w:rsidRPr="00641FBB" w:rsidRDefault="00853744" w:rsidP="003C2CF1">
      <w:pPr>
        <w:pStyle w:val="ListParagraph"/>
        <w:numPr>
          <w:ilvl w:val="0"/>
          <w:numId w:val="9"/>
        </w:numPr>
      </w:pPr>
      <w:r w:rsidRPr="00641FBB">
        <w:t>Working Group on the issue of discrimination against women in law and in practice</w:t>
      </w:r>
      <w:r w:rsidR="004B62BB" w:rsidRPr="00641FBB">
        <w:t>.</w:t>
      </w:r>
    </w:p>
    <w:p w14:paraId="038EA404" w14:textId="3ACA6911" w:rsidR="00F13A85" w:rsidRPr="00641FBB" w:rsidRDefault="00F86CF4" w:rsidP="00F13A85">
      <w:r w:rsidRPr="00641FBB">
        <w:t>For m</w:t>
      </w:r>
      <w:r w:rsidR="00F13A85" w:rsidRPr="00641FBB">
        <w:t>ore</w:t>
      </w:r>
      <w:r w:rsidRPr="00641FBB">
        <w:t xml:space="preserve"> information, visit</w:t>
      </w:r>
      <w:r w:rsidR="00F13A85" w:rsidRPr="00641FBB">
        <w:t xml:space="preserve"> the HRC website: </w:t>
      </w:r>
      <w:hyperlink r:id="rId39" w:history="1">
        <w:r w:rsidR="0031569B" w:rsidRPr="00641FBB">
          <w:rPr>
            <w:rStyle w:val="Hyperlink"/>
          </w:rPr>
          <w:t>www.ohchr.org/EN/HRBodies/SP/Pages/Welcomepage.aspx</w:t>
        </w:r>
      </w:hyperlink>
    </w:p>
    <w:p w14:paraId="1236DF6F" w14:textId="77777777" w:rsidR="00F13A85" w:rsidRPr="00641FBB" w:rsidRDefault="00884008" w:rsidP="004C42C3">
      <w:pPr>
        <w:pStyle w:val="Heading4"/>
      </w:pPr>
      <w:r w:rsidRPr="00641FBB">
        <w:t>Civil Society Participation</w:t>
      </w:r>
    </w:p>
    <w:p w14:paraId="5E265EB8" w14:textId="3497636D" w:rsidR="00884008" w:rsidRPr="00641FBB" w:rsidRDefault="00442115" w:rsidP="00884008">
      <w:r w:rsidRPr="00641FBB">
        <w:t xml:space="preserve">In addition to meeting with civil society during their country visits, </w:t>
      </w:r>
      <w:r w:rsidR="00884008" w:rsidRPr="00641FBB">
        <w:t xml:space="preserve">Special Rapporteurs are </w:t>
      </w:r>
      <w:r w:rsidR="004464A6" w:rsidRPr="00641FBB">
        <w:t>able to receive individual complaints requesting assistance or investigation into human rights violations by State</w:t>
      </w:r>
      <w:r w:rsidR="00A3289B" w:rsidRPr="00641FBB">
        <w:t>s</w:t>
      </w:r>
      <w:r w:rsidR="004464A6" w:rsidRPr="00641FBB">
        <w:t xml:space="preserve"> </w:t>
      </w:r>
      <w:r w:rsidR="00A3289B" w:rsidRPr="00641FBB">
        <w:t>p</w:t>
      </w:r>
      <w:r w:rsidR="004464A6" w:rsidRPr="00641FBB">
        <w:t xml:space="preserve">arties within their thematic areas. If warranted, the Special Rapporteur </w:t>
      </w:r>
      <w:r w:rsidR="00A3289B" w:rsidRPr="00641FBB">
        <w:t>requests responses from States p</w:t>
      </w:r>
      <w:r w:rsidR="004464A6" w:rsidRPr="00641FBB">
        <w:t>arties to the allegations and report</w:t>
      </w:r>
      <w:r w:rsidR="0031569B" w:rsidRPr="00641FBB">
        <w:t>s on</w:t>
      </w:r>
      <w:r w:rsidR="004464A6" w:rsidRPr="00641FBB">
        <w:t xml:space="preserve"> </w:t>
      </w:r>
      <w:r w:rsidR="00811B13" w:rsidRPr="00641FBB">
        <w:t>the Special Rapporteur’s</w:t>
      </w:r>
      <w:r w:rsidR="004464A6" w:rsidRPr="00641FBB">
        <w:t xml:space="preserve"> findings to the Human Rights Council.</w:t>
      </w:r>
      <w:r w:rsidRPr="00641FBB">
        <w:t xml:space="preserve"> </w:t>
      </w:r>
    </w:p>
    <w:p w14:paraId="010C97EF" w14:textId="13991006" w:rsidR="004464A6" w:rsidRPr="00641FBB" w:rsidRDefault="0031569B" w:rsidP="00884008">
      <w:r w:rsidRPr="00641FBB">
        <w:t>For more information</w:t>
      </w:r>
      <w:r w:rsidR="004464A6" w:rsidRPr="00641FBB">
        <w:t xml:space="preserve"> on the process of submitting individual complaints to Special Rapporteurs</w:t>
      </w:r>
      <w:r w:rsidRPr="00641FBB">
        <w:t xml:space="preserve">, visit: </w:t>
      </w:r>
      <w:hyperlink r:id="rId40" w:history="1">
        <w:r w:rsidR="004F14DC" w:rsidRPr="00641FBB">
          <w:rPr>
            <w:rStyle w:val="Hyperlink"/>
          </w:rPr>
          <w:t>www.ohchr.org/EN/HRBodies/SP/Pages/Communications.aspx</w:t>
        </w:r>
      </w:hyperlink>
      <w:r w:rsidR="004F14DC" w:rsidRPr="00641FBB">
        <w:t xml:space="preserve">. </w:t>
      </w:r>
    </w:p>
    <w:p w14:paraId="5B2D4C31" w14:textId="70E380C1" w:rsidR="004464A6" w:rsidRPr="00641FBB" w:rsidRDefault="004464A6" w:rsidP="004C42C3">
      <w:pPr>
        <w:pStyle w:val="Heading3"/>
      </w:pPr>
      <w:r w:rsidRPr="00641FBB">
        <w:t>Advisory Committee</w:t>
      </w:r>
    </w:p>
    <w:p w14:paraId="63CCD477" w14:textId="1A599BCB" w:rsidR="009477E9" w:rsidRPr="00641FBB" w:rsidRDefault="009477E9" w:rsidP="004464A6">
      <w:r w:rsidRPr="00641FBB">
        <w:t xml:space="preserve">The </w:t>
      </w:r>
      <w:r w:rsidR="00ED5C05" w:rsidRPr="00641FBB">
        <w:t>H</w:t>
      </w:r>
      <w:r w:rsidR="00811B13" w:rsidRPr="00641FBB">
        <w:t xml:space="preserve">uman </w:t>
      </w:r>
      <w:r w:rsidR="00ED5C05" w:rsidRPr="00641FBB">
        <w:t>R</w:t>
      </w:r>
      <w:r w:rsidR="00811B13" w:rsidRPr="00641FBB">
        <w:t xml:space="preserve">ights </w:t>
      </w:r>
      <w:r w:rsidR="00ED5C05" w:rsidRPr="00641FBB">
        <w:t>C</w:t>
      </w:r>
      <w:r w:rsidR="00811B13" w:rsidRPr="00641FBB">
        <w:t>ouncil</w:t>
      </w:r>
      <w:r w:rsidR="00ED5C05" w:rsidRPr="00641FBB">
        <w:t xml:space="preserve"> </w:t>
      </w:r>
      <w:r w:rsidRPr="00641FBB">
        <w:t>Advisory Committee</w:t>
      </w:r>
      <w:r w:rsidR="004B62BB" w:rsidRPr="00641FBB">
        <w:t xml:space="preserve"> (</w:t>
      </w:r>
      <w:r w:rsidR="00811B13" w:rsidRPr="00641FBB">
        <w:t>Advisory Committee</w:t>
      </w:r>
      <w:r w:rsidR="004B62BB" w:rsidRPr="00641FBB">
        <w:t>)</w:t>
      </w:r>
      <w:r w:rsidRPr="00641FBB">
        <w:t xml:space="preserve"> functions as a think</w:t>
      </w:r>
      <w:r w:rsidR="004B62BB" w:rsidRPr="00641FBB">
        <w:t>-</w:t>
      </w:r>
      <w:r w:rsidRPr="00641FBB">
        <w:t>tan</w:t>
      </w:r>
      <w:r w:rsidR="00ED5C05" w:rsidRPr="00641FBB">
        <w:t>k for the HRC</w:t>
      </w:r>
      <w:r w:rsidRPr="00641FBB">
        <w:t xml:space="preserve"> and engages in substantive research and work at </w:t>
      </w:r>
      <w:r w:rsidR="00811B13" w:rsidRPr="00641FBB">
        <w:t>the direction of the HRC</w:t>
      </w:r>
      <w:r w:rsidRPr="00641FBB">
        <w:t xml:space="preserve">.  The </w:t>
      </w:r>
      <w:r w:rsidR="004B62BB" w:rsidRPr="00641FBB">
        <w:t>A</w:t>
      </w:r>
      <w:r w:rsidR="00811B13" w:rsidRPr="00641FBB">
        <w:t xml:space="preserve">dvisory </w:t>
      </w:r>
      <w:r w:rsidR="004B62BB" w:rsidRPr="00641FBB">
        <w:t>C</w:t>
      </w:r>
      <w:r w:rsidR="00811B13" w:rsidRPr="00641FBB">
        <w:t xml:space="preserve">ommittee is implementation-oriented, </w:t>
      </w:r>
      <w:r w:rsidRPr="00641FBB">
        <w:t xml:space="preserve">and the scope of its research and advice is confined to thematic issues pertaining to the mandate of the HRC. It is composed of 18 experts serving in their personal capacity for appointments of up to three years. </w:t>
      </w:r>
    </w:p>
    <w:p w14:paraId="73D0DF9F" w14:textId="39A1FFDB" w:rsidR="004464A6" w:rsidRPr="00641FBB" w:rsidRDefault="009477E9" w:rsidP="004464A6">
      <w:r w:rsidRPr="00641FBB">
        <w:t xml:space="preserve">The </w:t>
      </w:r>
      <w:r w:rsidR="004B62BB" w:rsidRPr="00641FBB">
        <w:t>A</w:t>
      </w:r>
      <w:r w:rsidR="005244D6" w:rsidRPr="00641FBB">
        <w:t xml:space="preserve">dvisory </w:t>
      </w:r>
      <w:r w:rsidR="004B62BB" w:rsidRPr="00641FBB">
        <w:t>C</w:t>
      </w:r>
      <w:r w:rsidR="005244D6" w:rsidRPr="00641FBB">
        <w:t>ommittee</w:t>
      </w:r>
      <w:r w:rsidRPr="00641FBB">
        <w:t xml:space="preserve"> meets twice </w:t>
      </w:r>
      <w:r w:rsidR="004B62BB" w:rsidRPr="00641FBB">
        <w:t>a</w:t>
      </w:r>
      <w:r w:rsidRPr="00641FBB">
        <w:t xml:space="preserve"> year</w:t>
      </w:r>
      <w:r w:rsidR="00FF55E2" w:rsidRPr="00641FBB">
        <w:t>.</w:t>
      </w:r>
    </w:p>
    <w:p w14:paraId="2F1FCAAD" w14:textId="77777777" w:rsidR="00FF55E2" w:rsidRPr="00641FBB" w:rsidRDefault="00B937DD" w:rsidP="004C42C3">
      <w:pPr>
        <w:pStyle w:val="Heading4"/>
      </w:pPr>
      <w:r w:rsidRPr="00641FBB">
        <w:t>Civil Society Participation</w:t>
      </w:r>
    </w:p>
    <w:p w14:paraId="41421F50" w14:textId="48CA943F" w:rsidR="009477E9" w:rsidRPr="00641FBB" w:rsidRDefault="009477E9" w:rsidP="009477E9">
      <w:r w:rsidRPr="00641FBB">
        <w:t xml:space="preserve">NGOs in consultative status with </w:t>
      </w:r>
      <w:r w:rsidR="00811B13" w:rsidRPr="00641FBB">
        <w:t>United Nations Economic and Social Council (</w:t>
      </w:r>
      <w:r w:rsidRPr="00641FBB">
        <w:t>ECOSOC</w:t>
      </w:r>
      <w:r w:rsidR="00811B13" w:rsidRPr="00641FBB">
        <w:t>)</w:t>
      </w:r>
      <w:r w:rsidRPr="00641FBB">
        <w:t xml:space="preserve"> may submit written statements relevant to the work of the </w:t>
      </w:r>
      <w:r w:rsidR="00811B13" w:rsidRPr="00641FBB">
        <w:t>Advisory Meeting</w:t>
      </w:r>
      <w:r w:rsidRPr="00641FBB">
        <w:t xml:space="preserve"> prior to </w:t>
      </w:r>
      <w:r w:rsidR="00811B13" w:rsidRPr="00641FBB">
        <w:t xml:space="preserve">the Advisory Committee’s </w:t>
      </w:r>
      <w:r w:rsidRPr="00641FBB">
        <w:t xml:space="preserve">meetings. Additionally, oral submissions can be made during the course of the meetings on the work of the </w:t>
      </w:r>
      <w:r w:rsidR="00811B13" w:rsidRPr="00641FBB">
        <w:t>Advisory Committee</w:t>
      </w:r>
      <w:r w:rsidRPr="00641FBB">
        <w:t>.</w:t>
      </w:r>
    </w:p>
    <w:p w14:paraId="67B8B99B" w14:textId="3C10E1DA" w:rsidR="00B937DD" w:rsidRPr="00641FBB" w:rsidRDefault="009477E9" w:rsidP="00186BFB">
      <w:pPr>
        <w:jc w:val="left"/>
      </w:pPr>
      <w:r w:rsidRPr="00641FBB">
        <w:t>For more information</w:t>
      </w:r>
      <w:r w:rsidR="003473E0" w:rsidRPr="00641FBB">
        <w:t xml:space="preserve"> on civil society participation</w:t>
      </w:r>
      <w:r w:rsidRPr="00641FBB">
        <w:t>, visit:</w:t>
      </w:r>
      <w:r w:rsidR="00186BFB">
        <w:t xml:space="preserve"> </w:t>
      </w:r>
      <w:hyperlink r:id="rId41" w:history="1">
        <w:r w:rsidR="00DB64C1" w:rsidRPr="00641FBB">
          <w:rPr>
            <w:rStyle w:val="Hyperlink"/>
          </w:rPr>
          <w:t>www.ohchr.org/EN/HRBodies/HRC/AdvisoryCommittee/Pages/NGOParticipation.aspx</w:t>
        </w:r>
      </w:hyperlink>
      <w:r w:rsidR="00DB64C1" w:rsidRPr="00641FBB">
        <w:t xml:space="preserve">. </w:t>
      </w:r>
    </w:p>
    <w:p w14:paraId="34B56F36" w14:textId="7CFB4657" w:rsidR="00B937DD" w:rsidRPr="00641FBB" w:rsidRDefault="00B937DD" w:rsidP="004C42C3">
      <w:pPr>
        <w:pStyle w:val="Heading3"/>
      </w:pPr>
      <w:r w:rsidRPr="00641FBB">
        <w:t>Complaints Procedure</w:t>
      </w:r>
    </w:p>
    <w:p w14:paraId="686E1051" w14:textId="38544027" w:rsidR="00123913" w:rsidRPr="00641FBB" w:rsidRDefault="009477E9" w:rsidP="00123913">
      <w:r w:rsidRPr="00641FBB">
        <w:t>The</w:t>
      </w:r>
      <w:r w:rsidR="00123913" w:rsidRPr="00641FBB">
        <w:t xml:space="preserve"> Complaints Procedure</w:t>
      </w:r>
      <w:r w:rsidR="00ED5C05" w:rsidRPr="00641FBB">
        <w:t xml:space="preserve"> </w:t>
      </w:r>
      <w:r w:rsidRPr="00641FBB">
        <w:t>functions as a</w:t>
      </w:r>
      <w:r w:rsidR="00123913" w:rsidRPr="00641FBB">
        <w:t xml:space="preserve"> confidential</w:t>
      </w:r>
      <w:r w:rsidRPr="00641FBB">
        <w:t xml:space="preserve"> forum for bringing complaints on “</w:t>
      </w:r>
      <w:r w:rsidR="00123913" w:rsidRPr="00641FBB">
        <w:t>consistent patterns of gross and reliably attested violations of all human rights and all fundamental freedoms</w:t>
      </w:r>
      <w:r w:rsidR="003B7161" w:rsidRPr="00641FBB">
        <w:t xml:space="preserve"> </w:t>
      </w:r>
      <w:r w:rsidR="00123913" w:rsidRPr="00641FBB">
        <w:t>occurring in any part of the world and under any circumstances</w:t>
      </w:r>
      <w:r w:rsidRPr="00641FBB">
        <w:t>”</w:t>
      </w:r>
      <w:r w:rsidR="00123913" w:rsidRPr="00641FBB">
        <w:rPr>
          <w:rStyle w:val="FootnoteReference"/>
        </w:rPr>
        <w:footnoteReference w:id="3"/>
      </w:r>
      <w:r w:rsidRPr="00641FBB">
        <w:t xml:space="preserve"> to the attention of the </w:t>
      </w:r>
      <w:r w:rsidR="00ED5C05" w:rsidRPr="00641FBB">
        <w:t>H</w:t>
      </w:r>
      <w:r w:rsidR="00811B13" w:rsidRPr="00641FBB">
        <w:t xml:space="preserve">uman </w:t>
      </w:r>
      <w:r w:rsidR="00ED5C05" w:rsidRPr="00641FBB">
        <w:t>R</w:t>
      </w:r>
      <w:r w:rsidR="00811B13" w:rsidRPr="00641FBB">
        <w:t xml:space="preserve">ights </w:t>
      </w:r>
      <w:r w:rsidR="00ED5C05" w:rsidRPr="00641FBB">
        <w:t>C</w:t>
      </w:r>
      <w:r w:rsidR="00811B13" w:rsidRPr="00641FBB">
        <w:t>ouncil (HRC)</w:t>
      </w:r>
      <w:r w:rsidRPr="00641FBB">
        <w:t>.</w:t>
      </w:r>
      <w:r w:rsidRPr="00641FBB">
        <w:rPr>
          <w:rFonts w:ascii="ITCFranklinGothicStd" w:hAnsi="ITCFranklinGothicStd" w:cs="Times New Roman"/>
        </w:rPr>
        <w:t xml:space="preserve">  </w:t>
      </w:r>
      <w:r w:rsidRPr="00641FBB">
        <w:t>The procedure promotes a victim-oriented and timely approach to alleged violations.</w:t>
      </w:r>
      <w:r w:rsidR="00123913" w:rsidRPr="00641FBB">
        <w:t xml:space="preserve"> The complaints may be filed by individuals, groups, or</w:t>
      </w:r>
      <w:r w:rsidR="003B7161" w:rsidRPr="00641FBB">
        <w:t xml:space="preserve"> </w:t>
      </w:r>
      <w:r w:rsidR="00C8393A" w:rsidRPr="00641FBB">
        <w:t>NGOs</w:t>
      </w:r>
      <w:r w:rsidR="00123913" w:rsidRPr="00641FBB">
        <w:t xml:space="preserve"> as victims of human rights violations or based on having direct</w:t>
      </w:r>
      <w:r w:rsidR="00ED5C05" w:rsidRPr="00641FBB">
        <w:t xml:space="preserve"> and</w:t>
      </w:r>
      <w:r w:rsidR="00123913" w:rsidRPr="00641FBB">
        <w:t xml:space="preserve"> reliable knowledge of </w:t>
      </w:r>
      <w:r w:rsidR="00ED5C05" w:rsidRPr="00641FBB">
        <w:t xml:space="preserve">the </w:t>
      </w:r>
      <w:r w:rsidR="00123913" w:rsidRPr="00641FBB">
        <w:t>violations.</w:t>
      </w:r>
    </w:p>
    <w:p w14:paraId="2F7846C8" w14:textId="6FFF6904" w:rsidR="00B937DD" w:rsidRPr="00641FBB" w:rsidRDefault="00123913" w:rsidP="009477E9">
      <w:r w:rsidRPr="00641FBB">
        <w:t>The</w:t>
      </w:r>
      <w:r w:rsidR="009477E9" w:rsidRPr="00641FBB">
        <w:t xml:space="preserve"> Complain</w:t>
      </w:r>
      <w:r w:rsidR="00ED5C05" w:rsidRPr="00641FBB">
        <w:t>t</w:t>
      </w:r>
      <w:r w:rsidR="009477E9" w:rsidRPr="00641FBB">
        <w:t>s Procedure is composed</w:t>
      </w:r>
      <w:r w:rsidR="00811B13" w:rsidRPr="00641FBB">
        <w:t xml:space="preserve"> of two distinct working groups: </w:t>
      </w:r>
      <w:r w:rsidR="009477E9" w:rsidRPr="00641FBB">
        <w:t>the Working Group on Communications (WGC) and the Working Group on Situations (WGS).  The WGC meets twice a year to assess the admissibility and the merits of a violation. The WGS meets twice a year in order to examine communicati</w:t>
      </w:r>
      <w:r w:rsidR="004B62BB" w:rsidRPr="00641FBB">
        <w:t>on deemed admissible by the WGC</w:t>
      </w:r>
      <w:r w:rsidR="009477E9" w:rsidRPr="00641FBB">
        <w:t xml:space="preserve"> and to present the HRC with a report on </w:t>
      </w:r>
      <w:r w:rsidR="00AC0BC0">
        <w:t>s</w:t>
      </w:r>
      <w:r w:rsidR="009477E9" w:rsidRPr="00641FBB">
        <w:t>tate violations and recommendations for a course of action.</w:t>
      </w:r>
    </w:p>
    <w:p w14:paraId="6180FEA9" w14:textId="77777777" w:rsidR="009477E9" w:rsidRPr="00641FBB" w:rsidRDefault="009477E9" w:rsidP="004C42C3">
      <w:pPr>
        <w:pStyle w:val="Heading4"/>
      </w:pPr>
      <w:r w:rsidRPr="00641FBB">
        <w:t>Civil Society Participation</w:t>
      </w:r>
    </w:p>
    <w:p w14:paraId="36EC451F" w14:textId="3D939916" w:rsidR="009477E9" w:rsidRPr="00641FBB" w:rsidRDefault="00785F67" w:rsidP="009477E9">
      <w:r w:rsidRPr="00641FBB">
        <w:t xml:space="preserve">As outlined above, </w:t>
      </w:r>
      <w:r w:rsidR="00ED5C05" w:rsidRPr="00641FBB">
        <w:t>NGOs may file a complaint with the Complaints Procedure as victims of human rights violations or based on direct and reliable knowledge of the violations</w:t>
      </w:r>
      <w:r w:rsidR="009477E9" w:rsidRPr="00641FBB">
        <w:t>.</w:t>
      </w:r>
      <w:r w:rsidRPr="00641FBB">
        <w:t xml:space="preserve"> A complaint must be filed using the form available at: </w:t>
      </w:r>
      <w:hyperlink r:id="rId42" w:history="1">
        <w:r w:rsidRPr="00641FBB">
          <w:rPr>
            <w:rStyle w:val="Hyperlink"/>
          </w:rPr>
          <w:t>http://www.ohchr.org/Documents/HRBodies/ComplaintProcedure/HRCComplaintProcedureForm.doc</w:t>
        </w:r>
      </w:hyperlink>
      <w:r w:rsidRPr="00641FBB">
        <w:t xml:space="preserve">. </w:t>
      </w:r>
    </w:p>
    <w:p w14:paraId="2124773A" w14:textId="5C2F1AD2" w:rsidR="009477E9" w:rsidRPr="00641FBB" w:rsidRDefault="00785F67" w:rsidP="004C42C3">
      <w:pPr>
        <w:pStyle w:val="Heading5"/>
      </w:pPr>
      <w:r w:rsidRPr="00641FBB">
        <w:t>Complaints</w:t>
      </w:r>
    </w:p>
    <w:p w14:paraId="5D90238A" w14:textId="6B0E53C3" w:rsidR="00ED5C05" w:rsidRPr="00641FBB" w:rsidRDefault="009477E9" w:rsidP="00186BFB">
      <w:pPr>
        <w:spacing w:before="0" w:after="0"/>
        <w:jc w:val="left"/>
      </w:pPr>
      <w:r w:rsidRPr="00641FBB">
        <w:t>Treaties and Human Rights Council Bran</w:t>
      </w:r>
      <w:r w:rsidR="004B62BB" w:rsidRPr="00641FBB">
        <w:t>ch </w:t>
      </w:r>
      <w:r w:rsidR="004B62BB" w:rsidRPr="00641FBB">
        <w:br/>
        <w:t>OHCHR-UNOG </w:t>
      </w:r>
      <w:r w:rsidR="004B62BB" w:rsidRPr="00641FBB">
        <w:br/>
        <w:t xml:space="preserve">1211 Geneva 10, </w:t>
      </w:r>
      <w:r w:rsidRPr="00641FBB">
        <w:t>Switzerland</w:t>
      </w:r>
    </w:p>
    <w:p w14:paraId="5D422BF3" w14:textId="77777777" w:rsidR="00785F67" w:rsidRPr="00641FBB" w:rsidRDefault="00785F67" w:rsidP="00186BFB">
      <w:pPr>
        <w:spacing w:before="0" w:after="0"/>
        <w:jc w:val="left"/>
      </w:pPr>
    </w:p>
    <w:p w14:paraId="0299D6D8" w14:textId="6C9391D7" w:rsidR="004B62BB" w:rsidRPr="00641FBB" w:rsidRDefault="003473E0" w:rsidP="00186BFB">
      <w:pPr>
        <w:pStyle w:val="NoSpacing"/>
        <w:jc w:val="left"/>
        <w:rPr>
          <w:color w:val="0000FF" w:themeColor="hyperlink"/>
          <w:u w:val="single"/>
        </w:rPr>
      </w:pPr>
      <w:r w:rsidRPr="00641FBB">
        <w:t>Fax: +</w:t>
      </w:r>
      <w:r w:rsidR="009477E9" w:rsidRPr="00641FBB">
        <w:t xml:space="preserve">41 </w:t>
      </w:r>
      <w:r w:rsidRPr="00641FBB">
        <w:t>(0) 22</w:t>
      </w:r>
      <w:r w:rsidR="009477E9" w:rsidRPr="00641FBB">
        <w:t xml:space="preserve"> 9</w:t>
      </w:r>
      <w:r w:rsidRPr="00641FBB">
        <w:t xml:space="preserve"> </w:t>
      </w:r>
      <w:r w:rsidR="009477E9" w:rsidRPr="00641FBB">
        <w:t>17 90 11 </w:t>
      </w:r>
      <w:r w:rsidR="009477E9" w:rsidRPr="00641FBB">
        <w:br/>
        <w:t>E-mail: </w:t>
      </w:r>
      <w:hyperlink r:id="rId43" w:history="1">
        <w:r w:rsidR="004B62BB" w:rsidRPr="00641FBB">
          <w:rPr>
            <w:rStyle w:val="Hyperlink"/>
          </w:rPr>
          <w:t>CP@ohchr.org</w:t>
        </w:r>
      </w:hyperlink>
    </w:p>
    <w:p w14:paraId="4E00914D" w14:textId="3F0B2F8A" w:rsidR="004B62BB" w:rsidRPr="00641FBB" w:rsidRDefault="004B62BB" w:rsidP="00186BFB">
      <w:pPr>
        <w:pStyle w:val="NoSpacing"/>
        <w:jc w:val="left"/>
      </w:pPr>
      <w:r w:rsidRPr="00641FBB">
        <w:t xml:space="preserve">Website: </w:t>
      </w:r>
      <w:hyperlink r:id="rId44" w:history="1">
        <w:r w:rsidRPr="00641FBB">
          <w:rPr>
            <w:rStyle w:val="Hyperlink"/>
          </w:rPr>
          <w:t>www.ohchr.org/EN/HRBodies/HRC/ComplaintProcedure/Pages/HRCComplaintProcedureIndex.aspx</w:t>
        </w:r>
      </w:hyperlink>
      <w:r w:rsidRPr="00641FBB">
        <w:t xml:space="preserve"> </w:t>
      </w:r>
    </w:p>
    <w:p w14:paraId="27898FDB" w14:textId="63607B54" w:rsidR="00ED5C05" w:rsidRPr="00641FBB" w:rsidRDefault="00ED5C05" w:rsidP="004C42C3">
      <w:pPr>
        <w:pStyle w:val="Heading3"/>
      </w:pPr>
      <w:r w:rsidRPr="00641FBB">
        <w:t>Economic and Social Council</w:t>
      </w:r>
    </w:p>
    <w:p w14:paraId="262CEA2A" w14:textId="77777777" w:rsidR="00ED5C05" w:rsidRPr="00641FBB" w:rsidRDefault="00ED5C05" w:rsidP="00ED5C05">
      <w:r w:rsidRPr="00641FBB">
        <w:t xml:space="preserve">The UN Economic and Social Council (ECOSOC) coordinates the work of 14 specialized UN agencies, functional commissions, and regional commissions working on various international economic, social, cultural, educational, and health matters. The ECOSOC holds several short sessions per year and an annual substantive session for four weeks every July. </w:t>
      </w:r>
    </w:p>
    <w:p w14:paraId="7C10AF39" w14:textId="77777777" w:rsidR="00ED5C05" w:rsidRPr="00641FBB" w:rsidRDefault="00ED5C05" w:rsidP="004C42C3">
      <w:pPr>
        <w:pStyle w:val="Heading4"/>
      </w:pPr>
      <w:r w:rsidRPr="00641FBB">
        <w:t>Civil Society Participation</w:t>
      </w:r>
    </w:p>
    <w:p w14:paraId="00278A61" w14:textId="77777777" w:rsidR="00CD7A94" w:rsidRPr="00641FBB" w:rsidRDefault="00ED5C05" w:rsidP="00ED5C05">
      <w:r w:rsidRPr="00641FBB">
        <w:t xml:space="preserve">ECOSOC consults regularly with civil society, and nearly 3,000 NGOs enjoy consultative status. ECOSOC- accredited NGOs are permitted to participate, present written contributions, and make statements to the council and its subsidiary bodies. </w:t>
      </w:r>
    </w:p>
    <w:p w14:paraId="271F1405" w14:textId="61FD1962" w:rsidR="00ED5C05" w:rsidRPr="00641FBB" w:rsidRDefault="00CD7A94" w:rsidP="00ED5C05">
      <w:r w:rsidRPr="00641FBB">
        <w:t>For more i</w:t>
      </w:r>
      <w:r w:rsidR="00ED5C05" w:rsidRPr="00641FBB">
        <w:t xml:space="preserve">nformation </w:t>
      </w:r>
      <w:r w:rsidRPr="00641FBB">
        <w:t>on</w:t>
      </w:r>
      <w:r w:rsidR="00ED5C05" w:rsidRPr="00641FBB">
        <w:t xml:space="preserve"> NGOs with cons</w:t>
      </w:r>
      <w:r w:rsidRPr="00641FBB">
        <w:t>ultative status, visit:</w:t>
      </w:r>
      <w:r w:rsidR="00ED5C05" w:rsidRPr="00641FBB">
        <w:t xml:space="preserve"> </w:t>
      </w:r>
      <w:hyperlink r:id="rId45" w:history="1">
        <w:r w:rsidRPr="00641FBB">
          <w:rPr>
            <w:rStyle w:val="Hyperlink"/>
          </w:rPr>
          <w:t>http://csonet.org/</w:t>
        </w:r>
      </w:hyperlink>
      <w:r w:rsidR="00ED5C05" w:rsidRPr="00641FBB">
        <w:t xml:space="preserve">. </w:t>
      </w:r>
    </w:p>
    <w:p w14:paraId="07E3541F" w14:textId="6264AA0C" w:rsidR="00ED5C05" w:rsidRPr="00641FBB" w:rsidRDefault="00ED5C05" w:rsidP="00ED5C05">
      <w:r w:rsidRPr="00641FBB">
        <w:t xml:space="preserve">ECOSOC agencies and commissions that may be relevant to </w:t>
      </w:r>
      <w:r w:rsidR="00CD7A94" w:rsidRPr="00641FBB">
        <w:t>patient</w:t>
      </w:r>
      <w:r w:rsidR="00785F67" w:rsidRPr="00641FBB">
        <w:t xml:space="preserve"> </w:t>
      </w:r>
      <w:r w:rsidR="0089282F" w:rsidRPr="00641FBB">
        <w:t>care</w:t>
      </w:r>
      <w:r w:rsidRPr="00641FBB">
        <w:t xml:space="preserve"> include: </w:t>
      </w:r>
    </w:p>
    <w:p w14:paraId="75391977" w14:textId="61CA2CCF" w:rsidR="00CD7A94" w:rsidRPr="00641FBB" w:rsidRDefault="00ED5C05" w:rsidP="00CD7A94">
      <w:pPr>
        <w:pStyle w:val="ListParagraph"/>
        <w:numPr>
          <w:ilvl w:val="0"/>
          <w:numId w:val="7"/>
        </w:numPr>
      </w:pPr>
      <w:r w:rsidRPr="00641FBB">
        <w:t>Commission on the Status of Women</w:t>
      </w:r>
      <w:r w:rsidR="004F14DC" w:rsidRPr="00641FBB">
        <w:t>;</w:t>
      </w:r>
    </w:p>
    <w:p w14:paraId="42273614" w14:textId="5CA6F0EA" w:rsidR="00CD7A94" w:rsidRPr="00641FBB" w:rsidRDefault="00CD7A94" w:rsidP="00CD7A94">
      <w:pPr>
        <w:pStyle w:val="ListParagraph"/>
        <w:numPr>
          <w:ilvl w:val="0"/>
          <w:numId w:val="7"/>
        </w:numPr>
      </w:pPr>
      <w:r w:rsidRPr="00641FBB">
        <w:t>Commission on Narcotic Drugs</w:t>
      </w:r>
      <w:r w:rsidR="004F14DC" w:rsidRPr="00641FBB">
        <w:t>;</w:t>
      </w:r>
    </w:p>
    <w:p w14:paraId="1DE1D66D" w14:textId="27C19AED" w:rsidR="00CD7A94" w:rsidRPr="00641FBB" w:rsidRDefault="00ED5C05" w:rsidP="00CD7A94">
      <w:pPr>
        <w:pStyle w:val="ListParagraph"/>
        <w:numPr>
          <w:ilvl w:val="0"/>
          <w:numId w:val="7"/>
        </w:numPr>
      </w:pPr>
      <w:r w:rsidRPr="00641FBB">
        <w:t xml:space="preserve">Committee on Economic, Social and Cultural </w:t>
      </w:r>
      <w:r w:rsidR="00CD7A94" w:rsidRPr="00641FBB">
        <w:t>Rights</w:t>
      </w:r>
      <w:r w:rsidR="004F14DC" w:rsidRPr="00641FBB">
        <w:t>;</w:t>
      </w:r>
      <w:r w:rsidR="004B62BB" w:rsidRPr="00641FBB">
        <w:t xml:space="preserve"> and</w:t>
      </w:r>
    </w:p>
    <w:p w14:paraId="221685C3" w14:textId="32BA9AB4" w:rsidR="00ED5C05" w:rsidRPr="00641FBB" w:rsidRDefault="00ED5C05" w:rsidP="00CD7A94">
      <w:pPr>
        <w:pStyle w:val="ListParagraph"/>
        <w:numPr>
          <w:ilvl w:val="0"/>
          <w:numId w:val="7"/>
        </w:numPr>
      </w:pPr>
      <w:r w:rsidRPr="00641FBB">
        <w:t>International Narcotics Control Board</w:t>
      </w:r>
      <w:r w:rsidR="004B62BB" w:rsidRPr="00641FBB">
        <w:t>.</w:t>
      </w:r>
    </w:p>
    <w:p w14:paraId="45C3B05A" w14:textId="319AA4C9" w:rsidR="00CD7A94" w:rsidRPr="00641FBB" w:rsidRDefault="00CD7A94" w:rsidP="004C42C3">
      <w:pPr>
        <w:pStyle w:val="Heading1"/>
      </w:pPr>
      <w:r w:rsidRPr="00641FBB">
        <w:t>4.3 The European System</w:t>
      </w:r>
    </w:p>
    <w:p w14:paraId="28426CB2" w14:textId="0CFE3017" w:rsidR="00B450D1" w:rsidRPr="00641FBB" w:rsidRDefault="00B450D1" w:rsidP="00B450D1">
      <w:r w:rsidRPr="00641FBB">
        <w:t xml:space="preserve">As detailed in Chapter 3, the European system </w:t>
      </w:r>
      <w:r w:rsidR="00E83135">
        <w:t>includes</w:t>
      </w:r>
      <w:r w:rsidRPr="00641FBB">
        <w:t xml:space="preserve"> a number of avenues through which both patients’ and providers’ rights can be vindicated. </w:t>
      </w:r>
      <w:r w:rsidR="00ED4C81" w:rsidRPr="00641FBB">
        <w:t>T</w:t>
      </w:r>
      <w:r w:rsidRPr="00641FBB">
        <w:t>his section provides basic</w:t>
      </w:r>
      <w:r w:rsidR="00AD7F2A" w:rsidRPr="00641FBB">
        <w:t xml:space="preserve"> information </w:t>
      </w:r>
      <w:r w:rsidRPr="00641FBB">
        <w:t>to help the user navigate through the European system.</w:t>
      </w:r>
    </w:p>
    <w:p w14:paraId="2D2D5304" w14:textId="46F7A936" w:rsidR="00CD7A94" w:rsidRPr="00641FBB" w:rsidRDefault="00CD7A94" w:rsidP="004C42C3">
      <w:pPr>
        <w:pStyle w:val="Heading2"/>
      </w:pPr>
      <w:r w:rsidRPr="00641FBB">
        <w:t>European Court of Human Rights</w:t>
      </w:r>
    </w:p>
    <w:p w14:paraId="170B2019" w14:textId="77777777" w:rsidR="00CD7A94" w:rsidRPr="00641FBB" w:rsidRDefault="00CD7A94" w:rsidP="004C42C3">
      <w:pPr>
        <w:pStyle w:val="Heading4"/>
      </w:pPr>
      <w:r w:rsidRPr="00641FBB">
        <w:t>Mandate</w:t>
      </w:r>
    </w:p>
    <w:p w14:paraId="0DBA978A" w14:textId="1C8098EB" w:rsidR="00E7351C" w:rsidRPr="00641FBB" w:rsidRDefault="00CD7A94" w:rsidP="004C42C3">
      <w:pPr>
        <w:rPr>
          <w:rFonts w:cs="Times New Roman"/>
        </w:rPr>
      </w:pPr>
      <w:r w:rsidRPr="00641FBB">
        <w:t>The Europea</w:t>
      </w:r>
      <w:r w:rsidR="00ED4C81" w:rsidRPr="00641FBB">
        <w:t>n Court of Human Rights (ECtHR) is</w:t>
      </w:r>
      <w:r w:rsidRPr="00641FBB">
        <w:t xml:space="preserve"> a body </w:t>
      </w:r>
      <w:r w:rsidR="00ED4C81" w:rsidRPr="00641FBB">
        <w:t xml:space="preserve">of the Council of Europe (COE) that </w:t>
      </w:r>
      <w:r w:rsidRPr="00641FBB">
        <w:t xml:space="preserve">enforces the provisions of the European Convention on Human Rights (ECHR).  The ECtHR adjudicates both disputes </w:t>
      </w:r>
      <w:r w:rsidR="00ED4C81" w:rsidRPr="00641FBB">
        <w:t xml:space="preserve">between </w:t>
      </w:r>
      <w:r w:rsidR="00AC0BC0">
        <w:t>s</w:t>
      </w:r>
      <w:r w:rsidR="00ED4C81" w:rsidRPr="00641FBB">
        <w:t xml:space="preserve">tates and </w:t>
      </w:r>
      <w:r w:rsidR="00E7351C" w:rsidRPr="00641FBB">
        <w:t>complaints (known as “applications”) submitted</w:t>
      </w:r>
      <w:r w:rsidR="00ED4C81" w:rsidRPr="00641FBB">
        <w:t xml:space="preserve"> by</w:t>
      </w:r>
      <w:r w:rsidRPr="00641FBB">
        <w:t xml:space="preserve"> individual</w:t>
      </w:r>
      <w:r w:rsidR="00ED4C81" w:rsidRPr="00641FBB">
        <w:t>s and groups</w:t>
      </w:r>
      <w:r w:rsidRPr="00641FBB">
        <w:t xml:space="preserve"> </w:t>
      </w:r>
      <w:r w:rsidR="00ED4C81" w:rsidRPr="00641FBB">
        <w:t xml:space="preserve">alleging </w:t>
      </w:r>
      <w:r w:rsidRPr="00641FBB">
        <w:t>violations</w:t>
      </w:r>
      <w:r w:rsidR="00ED4C81" w:rsidRPr="00641FBB">
        <w:t xml:space="preserve"> of human rights protected under the ECHR against a </w:t>
      </w:r>
      <w:r w:rsidR="00AC0BC0">
        <w:t>s</w:t>
      </w:r>
      <w:r w:rsidR="00ED4C81" w:rsidRPr="00641FBB">
        <w:t>tate</w:t>
      </w:r>
      <w:r w:rsidR="00E7351C" w:rsidRPr="00641FBB">
        <w:t xml:space="preserve"> or </w:t>
      </w:r>
      <w:r w:rsidR="00AC0BC0">
        <w:t>s</w:t>
      </w:r>
      <w:r w:rsidR="00E7351C" w:rsidRPr="00641FBB">
        <w:t>tates</w:t>
      </w:r>
      <w:r w:rsidR="00ED4C81" w:rsidRPr="00641FBB">
        <w:t xml:space="preserve">, </w:t>
      </w:r>
      <w:r w:rsidR="00ED4C81" w:rsidRPr="00641FBB">
        <w:rPr>
          <w:rFonts w:cs="Times New Roman"/>
        </w:rPr>
        <w:t>provided that they have exhausted all other options available to them domestically</w:t>
      </w:r>
      <w:r w:rsidR="00C8393A" w:rsidRPr="00641FBB">
        <w:rPr>
          <w:rFonts w:cs="Times New Roman"/>
        </w:rPr>
        <w:t>, and issues decisions which are binding on the respondent</w:t>
      </w:r>
      <w:r w:rsidR="00AC0BC0">
        <w:rPr>
          <w:rFonts w:cs="Times New Roman"/>
        </w:rPr>
        <w:t>s s</w:t>
      </w:r>
      <w:r w:rsidR="00C8393A" w:rsidRPr="00641FBB">
        <w:rPr>
          <w:rFonts w:cs="Times New Roman"/>
        </w:rPr>
        <w:t>tates</w:t>
      </w:r>
      <w:r w:rsidRPr="00641FBB">
        <w:t xml:space="preserve">. </w:t>
      </w:r>
      <w:r w:rsidR="00E7351C" w:rsidRPr="00641FBB">
        <w:rPr>
          <w:rFonts w:cs="Times New Roman"/>
        </w:rPr>
        <w:t xml:space="preserve">The ECtHR’s procedural process is further elaborated below. </w:t>
      </w:r>
    </w:p>
    <w:p w14:paraId="26235B1B" w14:textId="4A544BAB" w:rsidR="00CD7A94" w:rsidRPr="00641FBB" w:rsidRDefault="00CD7A94" w:rsidP="004C42C3">
      <w:pPr>
        <w:rPr>
          <w:rFonts w:cs="Times New Roman"/>
        </w:rPr>
      </w:pPr>
      <w:r w:rsidRPr="00641FBB">
        <w:t xml:space="preserve">The </w:t>
      </w:r>
      <w:r w:rsidR="00ED4C81" w:rsidRPr="00641FBB">
        <w:t>COE</w:t>
      </w:r>
      <w:r w:rsidR="00AD7F2A" w:rsidRPr="00641FBB">
        <w:t>’s Committee of Ministers</w:t>
      </w:r>
      <w:r w:rsidRPr="00641FBB">
        <w:t xml:space="preserve"> is responsible for monitoring the implementation of judgment</w:t>
      </w:r>
      <w:r w:rsidR="001F261C" w:rsidRPr="00641FBB">
        <w:t>s made by the ECtHR</w:t>
      </w:r>
      <w:r w:rsidRPr="00641FBB">
        <w:t>.</w:t>
      </w:r>
    </w:p>
    <w:p w14:paraId="7F9A21AD" w14:textId="55E7A751" w:rsidR="00CD7A94" w:rsidRPr="00641FBB" w:rsidRDefault="00CD7A94" w:rsidP="004C42C3">
      <w:pPr>
        <w:pStyle w:val="Heading4"/>
      </w:pPr>
      <w:r w:rsidRPr="00641FBB">
        <w:t>Civil Society Participation</w:t>
      </w:r>
    </w:p>
    <w:p w14:paraId="570AD704" w14:textId="6B653B0C" w:rsidR="00CD7A94" w:rsidRPr="00641FBB" w:rsidRDefault="00ED4C81" w:rsidP="004C42C3">
      <w:r w:rsidRPr="00641FBB">
        <w:t xml:space="preserve">Civil society may </w:t>
      </w:r>
      <w:r w:rsidR="00E7351C" w:rsidRPr="00641FBB">
        <w:t>submit applications</w:t>
      </w:r>
      <w:r w:rsidRPr="00641FBB">
        <w:t xml:space="preserve"> on behalf of individuals</w:t>
      </w:r>
      <w:r w:rsidR="00E7351C" w:rsidRPr="00641FBB">
        <w:t xml:space="preserve"> or groups</w:t>
      </w:r>
      <w:r w:rsidR="00A163AF" w:rsidRPr="00641FBB">
        <w:t xml:space="preserve"> of individuals</w:t>
      </w:r>
      <w:r w:rsidRPr="00641FBB">
        <w:t xml:space="preserve"> before the ECtHR. </w:t>
      </w:r>
      <w:r w:rsidR="00CD7A94" w:rsidRPr="00641FBB">
        <w:t>NGOs can</w:t>
      </w:r>
      <w:r w:rsidR="00E7351C" w:rsidRPr="00641FBB">
        <w:t xml:space="preserve"> also</w:t>
      </w:r>
      <w:r w:rsidR="00CD7A94" w:rsidRPr="00641FBB">
        <w:t xml:space="preserve"> file briefs on particular cases either at the invitation of the president of the court or</w:t>
      </w:r>
      <w:r w:rsidR="00C8393A" w:rsidRPr="00641FBB">
        <w:t>, with permission of the ECtHR,</w:t>
      </w:r>
      <w:r w:rsidR="00CD7A94" w:rsidRPr="00641FBB">
        <w:t xml:space="preserve"> as amici curiae ("friends of the court") if they can show that they have an interest in the case or have special knowledge of the subject matter and can also show that their intervention would serve the administration of justice. </w:t>
      </w:r>
      <w:r w:rsidR="007D183F" w:rsidRPr="00641FBB">
        <w:t>T</w:t>
      </w:r>
      <w:r w:rsidR="00CD7A94" w:rsidRPr="00641FBB">
        <w:t>he hearings of the ECtHR are generally public.</w:t>
      </w:r>
    </w:p>
    <w:p w14:paraId="5F29D7AB" w14:textId="65ADA6CE" w:rsidR="00E7351C" w:rsidRPr="00641FBB" w:rsidRDefault="00E7351C" w:rsidP="004C42C3">
      <w:pPr>
        <w:rPr>
          <w:rFonts w:cs="Times New Roman"/>
        </w:rPr>
      </w:pPr>
      <w:r w:rsidRPr="00641FBB">
        <w:rPr>
          <w:rFonts w:cs="Times New Roman"/>
        </w:rPr>
        <w:t>An application form and more information on lodging applications before the ECtHR may be obtained from the ECtHR website (</w:t>
      </w:r>
      <w:hyperlink r:id="rId46" w:history="1">
        <w:r w:rsidRPr="00641FBB">
          <w:rPr>
            <w:rStyle w:val="Hyperlink"/>
          </w:rPr>
          <w:t>http://www.echr.coe.int/Pages/home.aspx?p=applicants&amp;c=</w:t>
        </w:r>
      </w:hyperlink>
      <w:r w:rsidRPr="00641FBB">
        <w:rPr>
          <w:rFonts w:cs="Times New Roman"/>
        </w:rPr>
        <w:t>).</w:t>
      </w:r>
    </w:p>
    <w:p w14:paraId="325BBB00" w14:textId="77777777" w:rsidR="007D183F" w:rsidRPr="00641FBB" w:rsidRDefault="007D183F" w:rsidP="004C42C3">
      <w:pPr>
        <w:pStyle w:val="Heading4"/>
      </w:pPr>
      <w:r w:rsidRPr="00641FBB">
        <w:t>Contact Information</w:t>
      </w:r>
    </w:p>
    <w:p w14:paraId="51E50720" w14:textId="77777777" w:rsidR="004C42C3" w:rsidRPr="00641FBB" w:rsidRDefault="004C42C3" w:rsidP="004C42C3">
      <w:pPr>
        <w:pStyle w:val="NoSpacing"/>
      </w:pPr>
    </w:p>
    <w:p w14:paraId="242C0617" w14:textId="77777777" w:rsidR="004A323F" w:rsidRPr="00641FBB" w:rsidRDefault="007D183F" w:rsidP="00186BFB">
      <w:pPr>
        <w:pStyle w:val="NoSpacing"/>
        <w:jc w:val="left"/>
      </w:pPr>
      <w:r w:rsidRPr="00641FBB">
        <w:t>European Court of Human Rights</w:t>
      </w:r>
      <w:r w:rsidRPr="00641FBB">
        <w:br/>
        <w:t>Council of E</w:t>
      </w:r>
      <w:r w:rsidR="004A323F" w:rsidRPr="00641FBB">
        <w:t>urope</w:t>
      </w:r>
      <w:r w:rsidR="004A323F" w:rsidRPr="00641FBB">
        <w:br/>
        <w:t xml:space="preserve">F-67075 Strasbourg-Cedex, </w:t>
      </w:r>
      <w:r w:rsidRPr="00641FBB">
        <w:t>France</w:t>
      </w:r>
    </w:p>
    <w:p w14:paraId="5374729D" w14:textId="08A30F7B" w:rsidR="004A323F" w:rsidRPr="00641FBB" w:rsidRDefault="007D183F" w:rsidP="00186BFB">
      <w:pPr>
        <w:pStyle w:val="NoSpacing"/>
        <w:jc w:val="left"/>
      </w:pPr>
      <w:r w:rsidRPr="00641FBB">
        <w:br/>
        <w:t>Te</w:t>
      </w:r>
      <w:r w:rsidR="004A323F" w:rsidRPr="00641FBB">
        <w:t>l: +33 (0) 3 88 41 20 18</w:t>
      </w:r>
    </w:p>
    <w:p w14:paraId="0421CA0B" w14:textId="72958C77" w:rsidR="007D183F" w:rsidRPr="00641FBB" w:rsidRDefault="007D183F" w:rsidP="00186BFB">
      <w:pPr>
        <w:pStyle w:val="NoSpacing"/>
        <w:jc w:val="left"/>
      </w:pPr>
      <w:r w:rsidRPr="00641FBB">
        <w:t xml:space="preserve">Fax: + 33 </w:t>
      </w:r>
      <w:r w:rsidR="004A323F" w:rsidRPr="00641FBB">
        <w:t xml:space="preserve">(0) </w:t>
      </w:r>
      <w:r w:rsidRPr="00641FBB">
        <w:t xml:space="preserve">3 88 41 27 30 </w:t>
      </w:r>
    </w:p>
    <w:p w14:paraId="385E29F8" w14:textId="308E24D7" w:rsidR="007D183F" w:rsidRPr="00641FBB" w:rsidRDefault="007D183F" w:rsidP="00186BFB">
      <w:pPr>
        <w:pStyle w:val="NoSpacing"/>
        <w:jc w:val="left"/>
      </w:pPr>
      <w:r w:rsidRPr="00641FBB">
        <w:t xml:space="preserve">Website: </w:t>
      </w:r>
      <w:hyperlink r:id="rId47" w:history="1">
        <w:r w:rsidRPr="00641FBB">
          <w:rPr>
            <w:rStyle w:val="Hyperlink"/>
          </w:rPr>
          <w:t>www.echr.coe.int</w:t>
        </w:r>
      </w:hyperlink>
      <w:r w:rsidRPr="00641FBB">
        <w:t xml:space="preserve"> </w:t>
      </w:r>
    </w:p>
    <w:p w14:paraId="5828098C" w14:textId="29164C7B" w:rsidR="007D183F" w:rsidRPr="00641FBB" w:rsidRDefault="007D183F" w:rsidP="004C42C3">
      <w:pPr>
        <w:pStyle w:val="Heading2"/>
      </w:pPr>
      <w:r w:rsidRPr="00641FBB">
        <w:t>European Committee of Social Rights</w:t>
      </w:r>
    </w:p>
    <w:p w14:paraId="2EE1D6F0" w14:textId="77777777" w:rsidR="007D183F" w:rsidRPr="00641FBB" w:rsidRDefault="007D183F" w:rsidP="004C42C3">
      <w:pPr>
        <w:pStyle w:val="Heading4"/>
      </w:pPr>
      <w:r w:rsidRPr="00641FBB">
        <w:t>Mandate</w:t>
      </w:r>
    </w:p>
    <w:p w14:paraId="6FFF21E9" w14:textId="5076C561" w:rsidR="000B6BA5" w:rsidRPr="00641FBB" w:rsidRDefault="007D183F" w:rsidP="004C42C3">
      <w:r w:rsidRPr="00641FBB">
        <w:t>The European Co</w:t>
      </w:r>
      <w:r w:rsidR="000B6BA5" w:rsidRPr="00641FBB">
        <w:t>mmittee of Social Rights (ECSR) is</w:t>
      </w:r>
      <w:r w:rsidRPr="00641FBB">
        <w:t xml:space="preserve"> a body of the Council of Europe (COE)</w:t>
      </w:r>
      <w:r w:rsidR="000B6BA5" w:rsidRPr="00641FBB">
        <w:t xml:space="preserve"> that</w:t>
      </w:r>
      <w:r w:rsidRPr="00641FBB">
        <w:t xml:space="preserve"> conducts regular legal assessments of </w:t>
      </w:r>
      <w:r w:rsidR="00AC0BC0">
        <w:t>s</w:t>
      </w:r>
      <w:r w:rsidR="00F4325F" w:rsidRPr="00641FBB">
        <w:t>tate</w:t>
      </w:r>
      <w:r w:rsidRPr="00641FBB">
        <w:t xml:space="preserve"> compliance with provisions of the European Social Charter (ESC)</w:t>
      </w:r>
      <w:r w:rsidR="00A163AF" w:rsidRPr="00641FBB">
        <w:t xml:space="preserve"> (adopted in 1961 and revised in 1996)</w:t>
      </w:r>
      <w:r w:rsidRPr="00641FBB">
        <w:t xml:space="preserve">. These assessments are based on reports submitted by </w:t>
      </w:r>
      <w:r w:rsidR="00A3289B" w:rsidRPr="00641FBB">
        <w:t>States parties</w:t>
      </w:r>
      <w:r w:rsidRPr="00641FBB">
        <w:t xml:space="preserve"> at regular two- to four-year intervals, known as </w:t>
      </w:r>
      <w:r w:rsidR="00C75B13" w:rsidRPr="00641FBB">
        <w:t>“</w:t>
      </w:r>
      <w:r w:rsidRPr="00641FBB">
        <w:t>supervision cycles.</w:t>
      </w:r>
      <w:r w:rsidR="00C75B13" w:rsidRPr="00641FBB">
        <w:t>”</w:t>
      </w:r>
      <w:r w:rsidRPr="00641FBB">
        <w:t xml:space="preserve"> The governmental committee and the </w:t>
      </w:r>
      <w:r w:rsidR="000B6BA5" w:rsidRPr="00641FBB">
        <w:t xml:space="preserve">COE’s </w:t>
      </w:r>
      <w:r w:rsidRPr="00641FBB">
        <w:t xml:space="preserve">Committee of Ministers </w:t>
      </w:r>
      <w:r w:rsidR="00F4325F" w:rsidRPr="00641FBB">
        <w:t xml:space="preserve">also evaluate </w:t>
      </w:r>
      <w:r w:rsidR="00AC0BC0">
        <w:t>s</w:t>
      </w:r>
      <w:r w:rsidR="00F4325F" w:rsidRPr="00641FBB">
        <w:t xml:space="preserve">tate </w:t>
      </w:r>
      <w:r w:rsidR="007E69F8" w:rsidRPr="00641FBB">
        <w:t>reports under the ESC</w:t>
      </w:r>
      <w:r w:rsidRPr="00641FBB">
        <w:t xml:space="preserve">. </w:t>
      </w:r>
    </w:p>
    <w:p w14:paraId="6FCB4974" w14:textId="5EB69A4B" w:rsidR="007D183F" w:rsidRPr="00641FBB" w:rsidRDefault="007E69F8" w:rsidP="004C42C3">
      <w:r w:rsidRPr="00641FBB">
        <w:t>The ECSR publi</w:t>
      </w:r>
      <w:r w:rsidR="000B6BA5" w:rsidRPr="00641FBB">
        <w:t>shes its conclusion</w:t>
      </w:r>
      <w:r w:rsidR="00A163AF" w:rsidRPr="00641FBB">
        <w:t>s</w:t>
      </w:r>
      <w:r w:rsidR="000B6BA5" w:rsidRPr="00641FBB">
        <w:t xml:space="preserve"> every year and </w:t>
      </w:r>
      <w:r w:rsidRPr="00641FBB">
        <w:t xml:space="preserve">also receives collective complaints </w:t>
      </w:r>
      <w:r w:rsidR="00A163AF" w:rsidRPr="00641FBB">
        <w:t>alleging widespread</w:t>
      </w:r>
      <w:r w:rsidRPr="00641FBB">
        <w:t xml:space="preserve"> fail</w:t>
      </w:r>
      <w:r w:rsidR="00A163AF" w:rsidRPr="00641FBB">
        <w:t>ures of compliance</w:t>
      </w:r>
      <w:r w:rsidRPr="00641FBB">
        <w:t xml:space="preserve"> with the ESC</w:t>
      </w:r>
      <w:r w:rsidR="00A163AF" w:rsidRPr="00641FBB">
        <w:t xml:space="preserve">, against </w:t>
      </w:r>
      <w:r w:rsidR="00AC0BC0">
        <w:t>s</w:t>
      </w:r>
      <w:r w:rsidR="00A163AF" w:rsidRPr="00641FBB">
        <w:t>tates which have accepted the procedure under the Additional Protocol to the ESC</w:t>
      </w:r>
      <w:r w:rsidRPr="00641FBB">
        <w:t>.</w:t>
      </w:r>
    </w:p>
    <w:p w14:paraId="64CDD5CF" w14:textId="77777777" w:rsidR="007D183F" w:rsidRPr="00641FBB" w:rsidRDefault="007D183F" w:rsidP="004C42C3">
      <w:pPr>
        <w:pStyle w:val="Heading4"/>
      </w:pPr>
      <w:r w:rsidRPr="00641FBB">
        <w:t>Civil Society Participation</w:t>
      </w:r>
    </w:p>
    <w:p w14:paraId="47904AFA" w14:textId="1E3C29C3" w:rsidR="007D183F" w:rsidRPr="00641FBB" w:rsidRDefault="007D183F" w:rsidP="004C42C3">
      <w:r w:rsidRPr="00641FBB">
        <w:t xml:space="preserve">Reports submitted by </w:t>
      </w:r>
      <w:r w:rsidR="00A3289B" w:rsidRPr="00641FBB">
        <w:t>States parties</w:t>
      </w:r>
      <w:r w:rsidRPr="00641FBB">
        <w:t xml:space="preserve"> under the ESC are public and may be commented upon by individuals or NGOs. International NGOs with COE consultative status and national NGOs </w:t>
      </w:r>
      <w:r w:rsidR="000B6BA5" w:rsidRPr="00641FBB">
        <w:t>recognized</w:t>
      </w:r>
      <w:r w:rsidRPr="00641FBB">
        <w:t xml:space="preserve"> by their </w:t>
      </w:r>
      <w:r w:rsidR="00AC0BC0">
        <w:t>s</w:t>
      </w:r>
      <w:r w:rsidR="00A3289B" w:rsidRPr="00641FBB">
        <w:t>tate</w:t>
      </w:r>
      <w:r w:rsidRPr="00641FBB">
        <w:t xml:space="preserve"> may also submit collective complaints to the COE alleging violations of the </w:t>
      </w:r>
      <w:r w:rsidR="00AD7F2A" w:rsidRPr="00641FBB">
        <w:t>ESC</w:t>
      </w:r>
      <w:r w:rsidRPr="00641FBB">
        <w:t xml:space="preserve">. </w:t>
      </w:r>
    </w:p>
    <w:p w14:paraId="7FC7C85D" w14:textId="0E372659" w:rsidR="007E69F8" w:rsidRPr="00641FBB" w:rsidRDefault="007E69F8" w:rsidP="004C42C3">
      <w:r w:rsidRPr="00641FBB">
        <w:t xml:space="preserve">Instructions for NGOs seeking to obtain or renew entitlement </w:t>
      </w:r>
      <w:r w:rsidR="0049156A" w:rsidRPr="00641FBB">
        <w:t xml:space="preserve">for lodging collective complaints </w:t>
      </w:r>
      <w:r w:rsidRPr="00641FBB">
        <w:t>with the ECSR are available at</w:t>
      </w:r>
      <w:r w:rsidR="0049156A" w:rsidRPr="00641FBB">
        <w:t xml:space="preserve">: </w:t>
      </w:r>
      <w:hyperlink r:id="rId48" w:history="1">
        <w:r w:rsidR="0049156A" w:rsidRPr="00641FBB">
          <w:rPr>
            <w:rStyle w:val="Hyperlink"/>
            <w:rFonts w:cs="Times New Roman"/>
          </w:rPr>
          <w:t>www.coe.int/t/dghl/monitoring/socialcharter/OrganisationsEntitled/Instructions_en.asp</w:t>
        </w:r>
      </w:hyperlink>
      <w:r w:rsidR="0049156A" w:rsidRPr="00641FBB">
        <w:t xml:space="preserve">. </w:t>
      </w:r>
      <w:r w:rsidRPr="00641FBB">
        <w:t xml:space="preserve"> </w:t>
      </w:r>
    </w:p>
    <w:p w14:paraId="62FC9AC3" w14:textId="77777777" w:rsidR="007D183F" w:rsidRPr="00641FBB" w:rsidRDefault="007D183F" w:rsidP="004C42C3">
      <w:pPr>
        <w:pStyle w:val="Heading4"/>
      </w:pPr>
      <w:r w:rsidRPr="00641FBB">
        <w:t>Contact Information</w:t>
      </w:r>
    </w:p>
    <w:p w14:paraId="2A4DFF0D" w14:textId="77777777" w:rsidR="004C42C3" w:rsidRPr="00641FBB" w:rsidRDefault="004C42C3" w:rsidP="004C42C3">
      <w:pPr>
        <w:pStyle w:val="NoSpacing"/>
      </w:pPr>
    </w:p>
    <w:p w14:paraId="7A1F29C5" w14:textId="52FB6B5F" w:rsidR="0049156A" w:rsidRPr="00641FBB" w:rsidRDefault="0049156A" w:rsidP="0049156A">
      <w:pPr>
        <w:pStyle w:val="NoSpacing"/>
      </w:pPr>
      <w:r w:rsidRPr="00641FBB">
        <w:t>Department of the European Social Charter and the European Code of Social Security</w:t>
      </w:r>
    </w:p>
    <w:p w14:paraId="18926394" w14:textId="77777777" w:rsidR="0049156A" w:rsidRPr="00641FBB" w:rsidRDefault="0049156A" w:rsidP="0049156A">
      <w:pPr>
        <w:pStyle w:val="NoSpacing"/>
      </w:pPr>
      <w:r w:rsidRPr="00641FBB">
        <w:t xml:space="preserve">Conseil de l'Europe </w:t>
      </w:r>
    </w:p>
    <w:p w14:paraId="4302E5BB" w14:textId="77777777" w:rsidR="0049156A" w:rsidRPr="00641FBB" w:rsidRDefault="0049156A" w:rsidP="0049156A">
      <w:pPr>
        <w:pStyle w:val="NoSpacing"/>
      </w:pPr>
      <w:r w:rsidRPr="00641FBB">
        <w:t xml:space="preserve">Directorate General of Human Rights and Rule of Law </w:t>
      </w:r>
    </w:p>
    <w:p w14:paraId="6133FCEA" w14:textId="77777777" w:rsidR="0049156A" w:rsidRPr="00641FBB" w:rsidRDefault="0049156A" w:rsidP="0049156A">
      <w:pPr>
        <w:pStyle w:val="NoSpacing"/>
      </w:pPr>
      <w:r w:rsidRPr="00641FBB">
        <w:t>Agora</w:t>
      </w:r>
    </w:p>
    <w:p w14:paraId="227A8FE0" w14:textId="77777777" w:rsidR="0049156A" w:rsidRPr="00641FBB" w:rsidRDefault="0049156A" w:rsidP="0049156A">
      <w:pPr>
        <w:pStyle w:val="NoSpacing"/>
      </w:pPr>
      <w:r w:rsidRPr="00641FBB">
        <w:t xml:space="preserve">Council of Europe </w:t>
      </w:r>
    </w:p>
    <w:p w14:paraId="52EE494F" w14:textId="77777777" w:rsidR="0049156A" w:rsidRPr="00641FBB" w:rsidRDefault="0049156A" w:rsidP="0049156A">
      <w:pPr>
        <w:pStyle w:val="NoSpacing"/>
      </w:pPr>
      <w:r w:rsidRPr="00641FBB">
        <w:t xml:space="preserve">1, quai Jacoutot </w:t>
      </w:r>
    </w:p>
    <w:p w14:paraId="1A7F39BD" w14:textId="4CB87933" w:rsidR="0049156A" w:rsidRPr="00641FBB" w:rsidRDefault="0049156A" w:rsidP="0049156A">
      <w:pPr>
        <w:pStyle w:val="NoSpacing"/>
      </w:pPr>
      <w:r w:rsidRPr="00641FBB">
        <w:t>F – 67075 Strasbourg Cedex, France</w:t>
      </w:r>
    </w:p>
    <w:p w14:paraId="1DD6B991" w14:textId="77777777" w:rsidR="0049156A" w:rsidRPr="00641FBB" w:rsidRDefault="0049156A" w:rsidP="0049156A">
      <w:pPr>
        <w:pStyle w:val="NoSpacing"/>
      </w:pPr>
    </w:p>
    <w:p w14:paraId="5199A21A" w14:textId="324FC49B" w:rsidR="0049156A" w:rsidRPr="00641FBB" w:rsidRDefault="0049156A" w:rsidP="0049156A">
      <w:pPr>
        <w:pStyle w:val="NoSpacing"/>
      </w:pPr>
      <w:r w:rsidRPr="00641FBB">
        <w:t xml:space="preserve">Tel: +33 (0) 3 88 41 32 58 </w:t>
      </w:r>
    </w:p>
    <w:p w14:paraId="0DECA2A7" w14:textId="3936350B" w:rsidR="0049156A" w:rsidRPr="00331FAD" w:rsidRDefault="0049156A" w:rsidP="0049156A">
      <w:pPr>
        <w:pStyle w:val="NoSpacing"/>
        <w:rPr>
          <w:lang w:val="de-AT"/>
        </w:rPr>
      </w:pPr>
      <w:r w:rsidRPr="00331FAD">
        <w:rPr>
          <w:lang w:val="de-AT"/>
        </w:rPr>
        <w:t xml:space="preserve">Fax: +33 (0) 3 88 41 37 00 </w:t>
      </w:r>
    </w:p>
    <w:p w14:paraId="4A28A706" w14:textId="27C31F1F" w:rsidR="0049156A" w:rsidRPr="00331FAD" w:rsidRDefault="0049156A" w:rsidP="0049156A">
      <w:pPr>
        <w:pStyle w:val="NoSpacing"/>
        <w:rPr>
          <w:lang w:val="de-AT"/>
        </w:rPr>
      </w:pPr>
      <w:r w:rsidRPr="00331FAD">
        <w:rPr>
          <w:lang w:val="de-AT"/>
        </w:rPr>
        <w:t xml:space="preserve">E-mail: </w:t>
      </w:r>
      <w:hyperlink r:id="rId49" w:history="1">
        <w:r w:rsidRPr="00331FAD">
          <w:rPr>
            <w:rStyle w:val="Hyperlink"/>
            <w:lang w:val="de-AT"/>
          </w:rPr>
          <w:t>social.charter@coe.int</w:t>
        </w:r>
      </w:hyperlink>
      <w:r w:rsidRPr="00331FAD">
        <w:rPr>
          <w:lang w:val="de-AT"/>
        </w:rPr>
        <w:t xml:space="preserve">  </w:t>
      </w:r>
    </w:p>
    <w:p w14:paraId="0B01757F" w14:textId="459A064F" w:rsidR="0049156A" w:rsidRPr="00641FBB" w:rsidRDefault="0049156A" w:rsidP="0049156A">
      <w:pPr>
        <w:pStyle w:val="NoSpacing"/>
      </w:pPr>
      <w:r w:rsidRPr="00641FBB">
        <w:t xml:space="preserve">Website: </w:t>
      </w:r>
      <w:hyperlink r:id="rId50" w:history="1">
        <w:r w:rsidRPr="00641FBB">
          <w:rPr>
            <w:rStyle w:val="Hyperlink"/>
          </w:rPr>
          <w:t>www.coe.int/t/dghl/monitoring/socialcharter/ECSR/ECSRdefault_en.asp</w:t>
        </w:r>
      </w:hyperlink>
      <w:r w:rsidRPr="00641FBB">
        <w:t xml:space="preserve">  </w:t>
      </w:r>
    </w:p>
    <w:p w14:paraId="767E922F" w14:textId="77777777" w:rsidR="007D183F" w:rsidRPr="00641FBB" w:rsidRDefault="007D183F" w:rsidP="004C42C3">
      <w:pPr>
        <w:pStyle w:val="Heading3"/>
      </w:pPr>
      <w:r w:rsidRPr="00641FBB">
        <w:t>Committee of Ministers</w:t>
      </w:r>
    </w:p>
    <w:p w14:paraId="70BB1786" w14:textId="77777777" w:rsidR="007D183F" w:rsidRPr="00641FBB" w:rsidRDefault="007D183F" w:rsidP="004C42C3">
      <w:pPr>
        <w:pStyle w:val="Heading4"/>
      </w:pPr>
      <w:r w:rsidRPr="00641FBB">
        <w:t>Mandate</w:t>
      </w:r>
    </w:p>
    <w:p w14:paraId="26A9F54A" w14:textId="0D3E6633" w:rsidR="007D183F" w:rsidRPr="00641FBB" w:rsidRDefault="007D183F" w:rsidP="004C42C3">
      <w:r w:rsidRPr="00641FBB">
        <w:t>The Committee of Ministers</w:t>
      </w:r>
      <w:r w:rsidR="007A5539" w:rsidRPr="00641FBB">
        <w:t xml:space="preserve"> (CM)</w:t>
      </w:r>
      <w:r w:rsidRPr="00641FBB">
        <w:t xml:space="preserve"> is the decision-making body of the Council of Europe (COE)</w:t>
      </w:r>
      <w:r w:rsidR="007A5539" w:rsidRPr="00641FBB">
        <w:t xml:space="preserve"> composed of</w:t>
      </w:r>
      <w:r w:rsidRPr="00641FBB">
        <w:t xml:space="preserve"> foreign ministers of all COE </w:t>
      </w:r>
      <w:r w:rsidR="006E3975" w:rsidRPr="00641FBB">
        <w:t>Member States</w:t>
      </w:r>
      <w:r w:rsidRPr="00641FBB">
        <w:t xml:space="preserve"> (or their permanent representatives). </w:t>
      </w:r>
      <w:r w:rsidR="007A5539" w:rsidRPr="00641FBB">
        <w:t>The CM provides a forum for discussion on problems facing the region and their solutions.</w:t>
      </w:r>
    </w:p>
    <w:p w14:paraId="1B6C35D4" w14:textId="05FFBFE7" w:rsidR="007D183F" w:rsidRPr="00641FBB" w:rsidRDefault="007A5539" w:rsidP="004C42C3">
      <w:r w:rsidRPr="00641FBB">
        <w:t>The CM monitors the implementation of</w:t>
      </w:r>
      <w:r w:rsidR="007D183F" w:rsidRPr="00641FBB">
        <w:t xml:space="preserve"> judgments </w:t>
      </w:r>
      <w:r w:rsidRPr="00641FBB">
        <w:t>of the E</w:t>
      </w:r>
      <w:r w:rsidR="00A163AF" w:rsidRPr="00641FBB">
        <w:t>CtHR</w:t>
      </w:r>
      <w:r w:rsidR="007D183F" w:rsidRPr="00641FBB">
        <w:t xml:space="preserve"> and eval</w:t>
      </w:r>
      <w:r w:rsidRPr="00641FBB">
        <w:t xml:space="preserve">uates </w:t>
      </w:r>
      <w:r w:rsidR="007D183F" w:rsidRPr="00641FBB">
        <w:t xml:space="preserve">reports </w:t>
      </w:r>
      <w:r w:rsidRPr="00641FBB">
        <w:t xml:space="preserve">produced by </w:t>
      </w:r>
      <w:r w:rsidR="007D183F" w:rsidRPr="00641FBB">
        <w:t>the</w:t>
      </w:r>
      <w:r w:rsidRPr="00641FBB">
        <w:t xml:space="preserve"> European Committee of Social Rights (</w:t>
      </w:r>
      <w:r w:rsidR="007D183F" w:rsidRPr="00641FBB">
        <w:t>ECSR</w:t>
      </w:r>
      <w:r w:rsidRPr="00641FBB">
        <w:t>). The CM</w:t>
      </w:r>
      <w:r w:rsidR="007D183F" w:rsidRPr="00641FBB">
        <w:t xml:space="preserve"> also makes separate recommendations to </w:t>
      </w:r>
      <w:r w:rsidR="006E3975" w:rsidRPr="00641FBB">
        <w:t>Member States</w:t>
      </w:r>
      <w:r w:rsidR="007D183F" w:rsidRPr="00641FBB">
        <w:t xml:space="preserve"> on matters for which the </w:t>
      </w:r>
      <w:r w:rsidRPr="00641FBB">
        <w:t>CM</w:t>
      </w:r>
      <w:r w:rsidR="007D183F" w:rsidRPr="00641FBB">
        <w:t xml:space="preserve"> has agreed to a “common policy”—including matters related to health and human rights. </w:t>
      </w:r>
    </w:p>
    <w:p w14:paraId="05EA5ECB" w14:textId="30941A6E" w:rsidR="007D183F" w:rsidRPr="00641FBB" w:rsidRDefault="007D183F" w:rsidP="007D183F">
      <w:pPr>
        <w:rPr>
          <w:rFonts w:cs="Times New Roman"/>
        </w:rPr>
      </w:pPr>
      <w:r w:rsidRPr="00641FBB">
        <w:rPr>
          <w:rFonts w:cs="Times New Roman"/>
        </w:rPr>
        <w:t>Some of these recommendations are provided by the Parliamentary Assembly of the Council of Europe</w:t>
      </w:r>
      <w:r w:rsidR="008121F2" w:rsidRPr="00641FBB">
        <w:rPr>
          <w:rFonts w:cs="Times New Roman"/>
        </w:rPr>
        <w:t xml:space="preserve">, </w:t>
      </w:r>
      <w:r w:rsidRPr="00641FBB">
        <w:rPr>
          <w:rFonts w:cs="Times New Roman"/>
        </w:rPr>
        <w:t xml:space="preserve">a consultative body composed of representatives of </w:t>
      </w:r>
      <w:r w:rsidR="006E3975" w:rsidRPr="00641FBB">
        <w:rPr>
          <w:rFonts w:cs="Times New Roman"/>
        </w:rPr>
        <w:t>Member States</w:t>
      </w:r>
      <w:r w:rsidR="007A5539" w:rsidRPr="00641FBB">
        <w:rPr>
          <w:rFonts w:cs="Times New Roman"/>
        </w:rPr>
        <w:t>’ parliaments</w:t>
      </w:r>
      <w:r w:rsidRPr="00641FBB">
        <w:rPr>
          <w:rFonts w:cs="Times New Roman"/>
        </w:rPr>
        <w:t>.</w:t>
      </w:r>
    </w:p>
    <w:p w14:paraId="2E7AFF74" w14:textId="3E3BBA75" w:rsidR="003B7161" w:rsidRPr="00641FBB" w:rsidRDefault="003B7161" w:rsidP="003B7161">
      <w:pPr>
        <w:pStyle w:val="Heading4"/>
      </w:pPr>
      <w:r w:rsidRPr="00641FBB">
        <w:t>Civil Society Participation</w:t>
      </w:r>
    </w:p>
    <w:p w14:paraId="7150A7A1" w14:textId="5436B404" w:rsidR="003B7161" w:rsidRPr="00641FBB" w:rsidRDefault="00137383" w:rsidP="003B7161">
      <w:r w:rsidRPr="00641FBB">
        <w:t>International non-governmental organizations may be granted participatory status by the COE.</w:t>
      </w:r>
      <w:r w:rsidR="006240EB" w:rsidRPr="00641FBB">
        <w:t xml:space="preserve"> Similarly, NGOs may enter into concluding partnership agreements with the COE. In this manner, organizations</w:t>
      </w:r>
      <w:r w:rsidR="002B679F" w:rsidRPr="00641FBB">
        <w:t xml:space="preserve"> are able to</w:t>
      </w:r>
      <w:r w:rsidR="006240EB" w:rsidRPr="00641FBB">
        <w:t xml:space="preserve"> support the</w:t>
      </w:r>
      <w:r w:rsidR="00EE0E9B" w:rsidRPr="00641FBB">
        <w:t xml:space="preserve"> work of the</w:t>
      </w:r>
      <w:r w:rsidR="006240EB" w:rsidRPr="00641FBB">
        <w:t xml:space="preserve"> </w:t>
      </w:r>
      <w:r w:rsidR="00EE0E9B" w:rsidRPr="00641FBB">
        <w:t xml:space="preserve">COE, including the </w:t>
      </w:r>
      <w:r w:rsidR="006240EB" w:rsidRPr="00641FBB">
        <w:t>CM</w:t>
      </w:r>
      <w:r w:rsidR="00E83135">
        <w:t>,</w:t>
      </w:r>
      <w:r w:rsidR="006240EB" w:rsidRPr="00641FBB">
        <w:t xml:space="preserve"> through their work.</w:t>
      </w:r>
    </w:p>
    <w:p w14:paraId="412FD4A6" w14:textId="293DF27F" w:rsidR="001E39FC" w:rsidRPr="00641FBB" w:rsidRDefault="002B679F" w:rsidP="003B7161">
      <w:r w:rsidRPr="00641FBB">
        <w:t xml:space="preserve">With respect to the implementation of ECtHR judgments, </w:t>
      </w:r>
      <w:r w:rsidR="001E39FC" w:rsidRPr="00641FBB">
        <w:t xml:space="preserve">NGOs </w:t>
      </w:r>
      <w:r w:rsidRPr="00641FBB">
        <w:t>may participate in the proceedings before the CM. They are allowed to submit communications to the CM at any time while the case is pending before the CM</w:t>
      </w:r>
      <w:r w:rsidR="001E39FC" w:rsidRPr="00641FBB">
        <w:t>.</w:t>
      </w:r>
      <w:r w:rsidRPr="00641FBB">
        <w:t xml:space="preserve"> Such communications may regard the respondent </w:t>
      </w:r>
      <w:r w:rsidR="007578BF">
        <w:t>s</w:t>
      </w:r>
      <w:r w:rsidRPr="00641FBB">
        <w:t xml:space="preserve">tate’s level of compliance, demand that a </w:t>
      </w:r>
      <w:r w:rsidR="007578BF">
        <w:t>s</w:t>
      </w:r>
      <w:r w:rsidRPr="00641FBB">
        <w:t>tate present an action plan/report, submit suggestions on how action plans/reports should be executed, call for a public debate on the judgment during a human rights meeting (reserved for certain cases), call for a change in the standard of review by the CM, and the like.</w:t>
      </w:r>
    </w:p>
    <w:p w14:paraId="4052F1B2" w14:textId="490F1710" w:rsidR="0049156A" w:rsidRPr="00641FBB" w:rsidRDefault="0049156A" w:rsidP="004C42C3">
      <w:pPr>
        <w:pStyle w:val="Heading4"/>
      </w:pPr>
      <w:r w:rsidRPr="00641FBB">
        <w:t>Contact Information</w:t>
      </w:r>
    </w:p>
    <w:p w14:paraId="2DE36927" w14:textId="77777777" w:rsidR="004C42C3" w:rsidRPr="00641FBB" w:rsidRDefault="004C42C3" w:rsidP="004C42C3">
      <w:pPr>
        <w:pStyle w:val="NoSpacing"/>
      </w:pPr>
    </w:p>
    <w:p w14:paraId="19A626F1" w14:textId="744ED51F" w:rsidR="0049156A" w:rsidRPr="00641FBB" w:rsidRDefault="0049156A" w:rsidP="0049156A">
      <w:pPr>
        <w:pStyle w:val="NoSpacing"/>
      </w:pPr>
      <w:r w:rsidRPr="00641FBB">
        <w:t>Tel: +33 (0)</w:t>
      </w:r>
      <w:r w:rsidR="003473E0" w:rsidRPr="00641FBB">
        <w:t xml:space="preserve"> </w:t>
      </w:r>
      <w:r w:rsidRPr="00641FBB">
        <w:t>3 88 41 28 49</w:t>
      </w:r>
    </w:p>
    <w:p w14:paraId="17502BC3" w14:textId="264DE7D6" w:rsidR="0049156A" w:rsidRPr="00641FBB" w:rsidRDefault="0049156A" w:rsidP="0049156A">
      <w:pPr>
        <w:pStyle w:val="NoSpacing"/>
      </w:pPr>
      <w:r w:rsidRPr="00641FBB">
        <w:t xml:space="preserve">E-mail: </w:t>
      </w:r>
      <w:hyperlink r:id="rId51" w:history="1">
        <w:r w:rsidRPr="00641FBB">
          <w:rPr>
            <w:rStyle w:val="Hyperlink"/>
            <w:rFonts w:cs="Times New Roman"/>
          </w:rPr>
          <w:t>cm@coe.int</w:t>
        </w:r>
      </w:hyperlink>
      <w:r w:rsidRPr="00641FBB">
        <w:t xml:space="preserve"> </w:t>
      </w:r>
    </w:p>
    <w:p w14:paraId="15C3D5FC" w14:textId="10A5B665" w:rsidR="0049156A" w:rsidRPr="00641FBB" w:rsidRDefault="0049156A" w:rsidP="0049156A">
      <w:pPr>
        <w:pStyle w:val="NoSpacing"/>
      </w:pPr>
      <w:r w:rsidRPr="00641FBB">
        <w:t xml:space="preserve">Website: </w:t>
      </w:r>
      <w:hyperlink r:id="rId52" w:history="1">
        <w:r w:rsidRPr="00641FBB">
          <w:rPr>
            <w:rStyle w:val="Hyperlink"/>
            <w:rFonts w:cs="Times New Roman"/>
          </w:rPr>
          <w:t>www.coe.int/cm</w:t>
        </w:r>
      </w:hyperlink>
    </w:p>
    <w:p w14:paraId="5AEBEBD3" w14:textId="77777777" w:rsidR="007D183F" w:rsidRPr="00641FBB" w:rsidRDefault="007D183F" w:rsidP="004C42C3">
      <w:pPr>
        <w:pStyle w:val="Heading3"/>
        <w:rPr>
          <w:szCs w:val="20"/>
        </w:rPr>
      </w:pPr>
      <w:r w:rsidRPr="00641FBB">
        <w:t xml:space="preserve">Advisory Committee </w:t>
      </w:r>
    </w:p>
    <w:p w14:paraId="27C2DB51" w14:textId="77777777" w:rsidR="007D183F" w:rsidRPr="00641FBB" w:rsidRDefault="007D183F" w:rsidP="004C42C3">
      <w:pPr>
        <w:pStyle w:val="Heading4"/>
      </w:pPr>
      <w:r w:rsidRPr="00641FBB">
        <w:t>Mandate</w:t>
      </w:r>
    </w:p>
    <w:p w14:paraId="796467D9" w14:textId="75825892" w:rsidR="007D183F" w:rsidRPr="00641FBB" w:rsidRDefault="007D183F" w:rsidP="004C42C3">
      <w:pPr>
        <w:rPr>
          <w:rFonts w:cs="Times New Roman"/>
        </w:rPr>
      </w:pPr>
      <w:r w:rsidRPr="00641FBB">
        <w:rPr>
          <w:shd w:val="clear" w:color="auto" w:fill="FFFFFF"/>
        </w:rPr>
        <w:t>The Advisory Committee</w:t>
      </w:r>
      <w:r w:rsidR="00FA3336" w:rsidRPr="00641FBB">
        <w:rPr>
          <w:shd w:val="clear" w:color="auto" w:fill="FFFFFF"/>
        </w:rPr>
        <w:t xml:space="preserve"> (AC)</w:t>
      </w:r>
      <w:r w:rsidRPr="00641FBB">
        <w:rPr>
          <w:shd w:val="clear" w:color="auto" w:fill="FFFFFF"/>
        </w:rPr>
        <w:t xml:space="preserve"> is the independent expert committee responsible for evaluating the implementation of the Framework Convention </w:t>
      </w:r>
      <w:r w:rsidR="00A163AF" w:rsidRPr="00641FBB">
        <w:rPr>
          <w:rFonts w:cs="Times New Roman"/>
        </w:rPr>
        <w:t>for the Protection of National Minorities (FCNM)</w:t>
      </w:r>
      <w:r w:rsidR="00A163AF" w:rsidRPr="00641FBB">
        <w:rPr>
          <w:shd w:val="clear" w:color="auto" w:fill="FFFFFF"/>
        </w:rPr>
        <w:t xml:space="preserve"> </w:t>
      </w:r>
      <w:r w:rsidR="00A3289B" w:rsidRPr="00641FBB">
        <w:rPr>
          <w:shd w:val="clear" w:color="auto" w:fill="FFFFFF"/>
        </w:rPr>
        <w:t>in States p</w:t>
      </w:r>
      <w:r w:rsidRPr="00641FBB">
        <w:rPr>
          <w:shd w:val="clear" w:color="auto" w:fill="FFFFFF"/>
        </w:rPr>
        <w:t>arties and advising the Committee of Ministers</w:t>
      </w:r>
      <w:r w:rsidR="007A5539" w:rsidRPr="00641FBB">
        <w:rPr>
          <w:shd w:val="clear" w:color="auto" w:fill="FFFFFF"/>
        </w:rPr>
        <w:t xml:space="preserve"> (CM)</w:t>
      </w:r>
      <w:r w:rsidRPr="00641FBB">
        <w:rPr>
          <w:shd w:val="clear" w:color="auto" w:fill="FFFFFF"/>
        </w:rPr>
        <w:t>.</w:t>
      </w:r>
      <w:r w:rsidRPr="00641FBB">
        <w:t> </w:t>
      </w:r>
      <w:r w:rsidRPr="00641FBB">
        <w:rPr>
          <w:rFonts w:cs="Times New Roman"/>
        </w:rPr>
        <w:t>It monitors country progress on</w:t>
      </w:r>
      <w:r w:rsidR="00111BCD" w:rsidRPr="00641FBB">
        <w:rPr>
          <w:rFonts w:cs="Times New Roman"/>
        </w:rPr>
        <w:t xml:space="preserve"> implementing</w:t>
      </w:r>
      <w:r w:rsidRPr="00641FBB">
        <w:rPr>
          <w:rFonts w:cs="Times New Roman"/>
        </w:rPr>
        <w:t xml:space="preserve"> the FCNM by examining periodic reports submitted by </w:t>
      </w:r>
      <w:r w:rsidR="00A3289B" w:rsidRPr="00641FBB">
        <w:rPr>
          <w:rFonts w:cs="Times New Roman"/>
        </w:rPr>
        <w:t>States parties</w:t>
      </w:r>
      <w:r w:rsidRPr="00641FBB">
        <w:rPr>
          <w:rFonts w:cs="Times New Roman"/>
        </w:rPr>
        <w:t xml:space="preserve">. </w:t>
      </w:r>
    </w:p>
    <w:p w14:paraId="1BF0DD3B" w14:textId="5A4980B6" w:rsidR="007D183F" w:rsidRPr="00641FBB" w:rsidRDefault="007D183F" w:rsidP="004C42C3">
      <w:r w:rsidRPr="00641FBB">
        <w:t xml:space="preserve">In addition to examining country reports, the AC may hold meetings with </w:t>
      </w:r>
      <w:r w:rsidR="007578BF">
        <w:t>s</w:t>
      </w:r>
      <w:r w:rsidR="00A3289B" w:rsidRPr="00641FBB">
        <w:t>tates</w:t>
      </w:r>
      <w:r w:rsidRPr="00641FBB">
        <w:t xml:space="preserve"> and request additional information from other sources. The AC then prepares an opinion, which is submitted to the </w:t>
      </w:r>
      <w:r w:rsidR="00FA3336" w:rsidRPr="00641FBB">
        <w:t>CM</w:t>
      </w:r>
      <w:r w:rsidRPr="00641FBB">
        <w:t xml:space="preserve">. Based on this opinion, the </w:t>
      </w:r>
      <w:r w:rsidR="00E723D7" w:rsidRPr="00641FBB">
        <w:t>CM</w:t>
      </w:r>
      <w:r w:rsidRPr="00641FBB">
        <w:t xml:space="preserve"> issues conclusions concerning the adequacy of measures taken by each </w:t>
      </w:r>
      <w:r w:rsidR="00A3289B" w:rsidRPr="00641FBB">
        <w:t>State party</w:t>
      </w:r>
      <w:r w:rsidRPr="00641FBB">
        <w:t xml:space="preserve">. The </w:t>
      </w:r>
      <w:r w:rsidR="00E723D7" w:rsidRPr="00641FBB">
        <w:t xml:space="preserve">CM may involve the </w:t>
      </w:r>
      <w:r w:rsidRPr="00641FBB">
        <w:t>AC in monitoring the follow-up to the</w:t>
      </w:r>
      <w:r w:rsidR="00111BCD" w:rsidRPr="00641FBB">
        <w:t>se</w:t>
      </w:r>
      <w:r w:rsidRPr="00641FBB">
        <w:t xml:space="preserve"> conclusions and recommendations. </w:t>
      </w:r>
    </w:p>
    <w:p w14:paraId="0263DB68" w14:textId="77777777" w:rsidR="007D183F" w:rsidRPr="00641FBB" w:rsidRDefault="007D183F" w:rsidP="004C42C3">
      <w:pPr>
        <w:pStyle w:val="Heading4"/>
      </w:pPr>
      <w:r w:rsidRPr="00641FBB">
        <w:t>Civil Society Participation</w:t>
      </w:r>
    </w:p>
    <w:p w14:paraId="2260B65C" w14:textId="4CCB9D0A" w:rsidR="007A5539" w:rsidRPr="00641FBB" w:rsidRDefault="007D183F" w:rsidP="004C42C3">
      <w:r w:rsidRPr="00641FBB">
        <w:t xml:space="preserve">NGOs can submit “shadow reports” to the AC on any aspect of a </w:t>
      </w:r>
      <w:r w:rsidR="00A3289B" w:rsidRPr="00641FBB">
        <w:t>State party</w:t>
      </w:r>
      <w:r w:rsidRPr="00641FBB">
        <w:t>’s compliance with the FCNM. Shadow reports should be submitted through</w:t>
      </w:r>
      <w:r w:rsidR="007A5539" w:rsidRPr="00641FBB">
        <w:t xml:space="preserve"> the FCNM’s S</w:t>
      </w:r>
      <w:r w:rsidRPr="00641FBB">
        <w:t xml:space="preserve">ecretariat. </w:t>
      </w:r>
      <w:r w:rsidR="009A079B" w:rsidRPr="00641FBB">
        <w:t>NGOs may also submit written information outside the monitoring status of a</w:t>
      </w:r>
      <w:r w:rsidR="002E56D8">
        <w:t xml:space="preserve"> </w:t>
      </w:r>
      <w:r w:rsidR="007578BF">
        <w:t>s</w:t>
      </w:r>
      <w:r w:rsidR="00A3289B" w:rsidRPr="00641FBB">
        <w:t>tate</w:t>
      </w:r>
      <w:r w:rsidR="009A079B" w:rsidRPr="00641FBB">
        <w:t xml:space="preserve"> that regards the implementation of the FCNM, encourage </w:t>
      </w:r>
      <w:r w:rsidR="007578BF">
        <w:t>s</w:t>
      </w:r>
      <w:r w:rsidR="009A079B" w:rsidRPr="00641FBB">
        <w:t xml:space="preserve">tates to ratify the FCNM, liaise with </w:t>
      </w:r>
      <w:r w:rsidR="007578BF">
        <w:t>s</w:t>
      </w:r>
      <w:r w:rsidR="00A3289B" w:rsidRPr="00641FBB">
        <w:t>tate</w:t>
      </w:r>
      <w:r w:rsidR="009A079B" w:rsidRPr="00641FBB">
        <w:t xml:space="preserve"> officials during the preparation of the </w:t>
      </w:r>
      <w:r w:rsidR="007578BF">
        <w:t>s</w:t>
      </w:r>
      <w:r w:rsidR="009A079B" w:rsidRPr="00641FBB">
        <w:t>tate report, participate in follow-up meetings after the AC publishes monitoring results, and contribute to the AC’s preparation of commentaries on specific issues.</w:t>
      </w:r>
    </w:p>
    <w:p w14:paraId="250150E3" w14:textId="496144C6" w:rsidR="007D183F" w:rsidRPr="00641FBB" w:rsidRDefault="007A5539" w:rsidP="00186BFB">
      <w:pPr>
        <w:jc w:val="left"/>
      </w:pPr>
      <w:r w:rsidRPr="00641FBB">
        <w:t>For more information</w:t>
      </w:r>
      <w:r w:rsidR="004F14DC" w:rsidRPr="00641FBB">
        <w:t xml:space="preserve"> on civil society participation</w:t>
      </w:r>
      <w:r w:rsidRPr="00641FBB">
        <w:t xml:space="preserve">, visit: </w:t>
      </w:r>
      <w:hyperlink r:id="rId53" w:history="1">
        <w:r w:rsidR="007D183F" w:rsidRPr="00641FBB">
          <w:rPr>
            <w:rStyle w:val="Hyperlink"/>
            <w:rFonts w:cs="Times New Roman"/>
          </w:rPr>
          <w:t>www.coe.int/t/dghl/monitoring/minorities/2_monitoring/ngO_intro_en.asp</w:t>
        </w:r>
      </w:hyperlink>
      <w:r w:rsidR="007D183F" w:rsidRPr="00641FBB">
        <w:t xml:space="preserve"> </w:t>
      </w:r>
    </w:p>
    <w:p w14:paraId="3E88D26E" w14:textId="77777777" w:rsidR="007D183F" w:rsidRPr="00641FBB" w:rsidRDefault="007D183F" w:rsidP="004C42C3">
      <w:pPr>
        <w:pStyle w:val="Heading4"/>
      </w:pPr>
      <w:r w:rsidRPr="00641FBB">
        <w:t>Contact Information</w:t>
      </w:r>
    </w:p>
    <w:p w14:paraId="0845C09B" w14:textId="77777777" w:rsidR="004C42C3" w:rsidRPr="00641FBB" w:rsidRDefault="004C42C3" w:rsidP="009C0309">
      <w:pPr>
        <w:pStyle w:val="NoSpacing"/>
      </w:pPr>
    </w:p>
    <w:p w14:paraId="7783EC17" w14:textId="77777777" w:rsidR="007D183F" w:rsidRPr="00641FBB" w:rsidRDefault="007D183F" w:rsidP="00186BFB">
      <w:pPr>
        <w:pStyle w:val="NoSpacing"/>
        <w:jc w:val="left"/>
      </w:pPr>
      <w:r w:rsidRPr="00641FBB">
        <w:t>Directorate General of Human Rights</w:t>
      </w:r>
      <w:r w:rsidRPr="00641FBB">
        <w:br/>
        <w:t xml:space="preserve">Secretariat of the Framework Convention for the Protection of National Minorities </w:t>
      </w:r>
    </w:p>
    <w:p w14:paraId="1304F0F6" w14:textId="581BD01F" w:rsidR="007D183F" w:rsidRPr="00641FBB" w:rsidRDefault="00E30648" w:rsidP="00186BFB">
      <w:pPr>
        <w:pStyle w:val="NoSpacing"/>
        <w:jc w:val="left"/>
      </w:pPr>
      <w:r w:rsidRPr="00641FBB">
        <w:t xml:space="preserve">F-67075 Strasbourg-Cedex, </w:t>
      </w:r>
      <w:r w:rsidR="007D183F" w:rsidRPr="00641FBB">
        <w:t>France</w:t>
      </w:r>
    </w:p>
    <w:p w14:paraId="0F794A06" w14:textId="6E3AA691" w:rsidR="007D183F" w:rsidRPr="00641FBB" w:rsidRDefault="007D183F" w:rsidP="00186BFB">
      <w:pPr>
        <w:pStyle w:val="NoSpacing"/>
        <w:jc w:val="left"/>
      </w:pPr>
      <w:r w:rsidRPr="00641FBB">
        <w:br/>
      </w:r>
      <w:r w:rsidR="004A323F" w:rsidRPr="00641FBB">
        <w:t xml:space="preserve">Tel: +33 </w:t>
      </w:r>
      <w:r w:rsidRPr="00641FBB">
        <w:t>(0)</w:t>
      </w:r>
      <w:r w:rsidR="004A323F" w:rsidRPr="00641FBB">
        <w:t xml:space="preserve"> </w:t>
      </w:r>
      <w:r w:rsidRPr="00641FBB">
        <w:t>3 90 21 44 33</w:t>
      </w:r>
    </w:p>
    <w:p w14:paraId="1518D581" w14:textId="74C3624B" w:rsidR="00206E5F" w:rsidRPr="00641FBB" w:rsidRDefault="004A323F" w:rsidP="00186BFB">
      <w:pPr>
        <w:pStyle w:val="NoSpacing"/>
        <w:jc w:val="left"/>
      </w:pPr>
      <w:r w:rsidRPr="00641FBB">
        <w:t xml:space="preserve">Fax: +33 </w:t>
      </w:r>
      <w:r w:rsidR="007D183F" w:rsidRPr="00641FBB">
        <w:t>(0)</w:t>
      </w:r>
      <w:r w:rsidRPr="00641FBB">
        <w:t xml:space="preserve"> </w:t>
      </w:r>
      <w:r w:rsidR="007D183F" w:rsidRPr="00641FBB">
        <w:t>3 90 21 49 18</w:t>
      </w:r>
      <w:r w:rsidR="007D183F" w:rsidRPr="00641FBB">
        <w:br/>
        <w:t xml:space="preserve">E-mail: </w:t>
      </w:r>
      <w:hyperlink r:id="rId54" w:history="1">
        <w:r w:rsidR="007D183F" w:rsidRPr="00641FBB">
          <w:rPr>
            <w:rStyle w:val="Hyperlink"/>
            <w:rFonts w:cs="Times New Roman"/>
          </w:rPr>
          <w:t>minorities.fcnm@coe.int</w:t>
        </w:r>
      </w:hyperlink>
      <w:r w:rsidR="007D183F" w:rsidRPr="00641FBB">
        <w:t xml:space="preserve"> </w:t>
      </w:r>
      <w:r w:rsidR="007D183F" w:rsidRPr="00641FBB">
        <w:br/>
        <w:t xml:space="preserve">Website: </w:t>
      </w:r>
      <w:hyperlink r:id="rId55" w:history="1">
        <w:r w:rsidR="007D183F" w:rsidRPr="00641FBB">
          <w:rPr>
            <w:rStyle w:val="Hyperlink"/>
            <w:rFonts w:cs="Times New Roman"/>
          </w:rPr>
          <w:t>www.coe.int/minorities</w:t>
        </w:r>
      </w:hyperlink>
      <w:r w:rsidR="007D183F" w:rsidRPr="00641FBB">
        <w:t xml:space="preserve"> </w:t>
      </w:r>
    </w:p>
    <w:p w14:paraId="41D1AAF4" w14:textId="509EAFE1" w:rsidR="00206E5F" w:rsidRPr="00641FBB" w:rsidRDefault="0089282F" w:rsidP="00186BFB">
      <w:pPr>
        <w:pStyle w:val="Heading1"/>
      </w:pPr>
      <w:r w:rsidRPr="00641FBB">
        <w:t>4.4 Complaint Procedure of the</w:t>
      </w:r>
      <w:r w:rsidR="00206E5F" w:rsidRPr="00641FBB">
        <w:t xml:space="preserve"> European </w:t>
      </w:r>
      <w:r w:rsidRPr="00641FBB">
        <w:t>court of</w:t>
      </w:r>
      <w:r w:rsidR="00206E5F" w:rsidRPr="00641FBB">
        <w:t xml:space="preserve"> Human Rights</w:t>
      </w:r>
    </w:p>
    <w:p w14:paraId="21E92599" w14:textId="6F71D448" w:rsidR="00206E5F" w:rsidRPr="00641FBB" w:rsidRDefault="00206E5F" w:rsidP="004C42C3">
      <w:pPr>
        <w:pStyle w:val="Heading2"/>
      </w:pPr>
      <w:r w:rsidRPr="00641FBB">
        <w:t>Basic Facts on the European Court of Human Rights</w:t>
      </w:r>
      <w:r w:rsidRPr="00641FBB">
        <w:rPr>
          <w:rStyle w:val="FootnoteReference"/>
        </w:rPr>
        <w:footnoteReference w:id="4"/>
      </w:r>
      <w:r w:rsidRPr="00641FBB">
        <w:t xml:space="preserve"> </w:t>
      </w:r>
    </w:p>
    <w:p w14:paraId="08541535" w14:textId="7CE9CFC7" w:rsidR="00206E5F" w:rsidRPr="00641FBB" w:rsidRDefault="0089282F" w:rsidP="004C42C3">
      <w:pPr>
        <w:pStyle w:val="Heading3"/>
      </w:pPr>
      <w:r w:rsidRPr="00641FBB">
        <w:t>Origin</w:t>
      </w:r>
    </w:p>
    <w:p w14:paraId="045C9767" w14:textId="57A08FA3" w:rsidR="0089282F" w:rsidRPr="00641FBB" w:rsidRDefault="0089282F" w:rsidP="0089282F">
      <w:pPr>
        <w:rPr>
          <w:b/>
        </w:rPr>
      </w:pPr>
      <w:r w:rsidRPr="00641FBB">
        <w:rPr>
          <w:b/>
        </w:rPr>
        <w:t>When and how was</w:t>
      </w:r>
      <w:r w:rsidR="002E56D8">
        <w:rPr>
          <w:b/>
        </w:rPr>
        <w:t xml:space="preserve"> </w:t>
      </w:r>
      <w:r w:rsidR="00E92A67">
        <w:rPr>
          <w:b/>
        </w:rPr>
        <w:t>the</w:t>
      </w:r>
      <w:r w:rsidRPr="00641FBB">
        <w:rPr>
          <w:b/>
        </w:rPr>
        <w:t xml:space="preserve"> European Court of Human Rights created?</w:t>
      </w:r>
    </w:p>
    <w:p w14:paraId="084480F8" w14:textId="6F69C121" w:rsidR="0089282F" w:rsidRPr="00641FBB" w:rsidRDefault="00A163AF" w:rsidP="0089282F">
      <w:pPr>
        <w:pStyle w:val="ListParagraph"/>
        <w:numPr>
          <w:ilvl w:val="0"/>
          <w:numId w:val="18"/>
        </w:numPr>
        <w:rPr>
          <w:rFonts w:cs="Times New Roman"/>
        </w:rPr>
      </w:pPr>
      <w:r w:rsidRPr="00641FBB">
        <w:rPr>
          <w:rFonts w:cs="Times New Roman"/>
        </w:rPr>
        <w:t>The ECtHR was created in 1959 pursuant to the</w:t>
      </w:r>
      <w:r w:rsidR="0089282F" w:rsidRPr="00641FBB">
        <w:rPr>
          <w:rFonts w:cs="Times New Roman"/>
        </w:rPr>
        <w:t xml:space="preserve"> European Convention on Human Rights (ECHR).</w:t>
      </w:r>
    </w:p>
    <w:p w14:paraId="017DDACA" w14:textId="4CE0B411" w:rsidR="0089282F" w:rsidRPr="00641FBB" w:rsidRDefault="0089282F" w:rsidP="0089282F">
      <w:pPr>
        <w:rPr>
          <w:b/>
        </w:rPr>
      </w:pPr>
      <w:r w:rsidRPr="00641FBB">
        <w:rPr>
          <w:b/>
        </w:rPr>
        <w:t>When did it become operational?</w:t>
      </w:r>
    </w:p>
    <w:p w14:paraId="6368CB23" w14:textId="22D4ACF9" w:rsidR="0089282F" w:rsidRPr="00641FBB" w:rsidRDefault="00A163AF" w:rsidP="0089282F">
      <w:pPr>
        <w:pStyle w:val="ListParagraph"/>
        <w:numPr>
          <w:ilvl w:val="0"/>
          <w:numId w:val="18"/>
        </w:numPr>
        <w:rPr>
          <w:b/>
        </w:rPr>
      </w:pPr>
      <w:r w:rsidRPr="00641FBB">
        <w:t>The ECtHR opened in 1959 as part of a two-tier structure comprising the ECtHR and the Commission on Human Rights, with the latter acting as a filtering mechanism to the ECtHR.  This</w:t>
      </w:r>
      <w:r w:rsidR="00EE0459" w:rsidRPr="00641FBB">
        <w:t xml:space="preserve"> two-tier </w:t>
      </w:r>
      <w:r w:rsidRPr="00641FBB">
        <w:t>structure was replaced in 1998 by a single court, pursuant to revisions introduced by Protocol 11 to the ECHR.</w:t>
      </w:r>
    </w:p>
    <w:p w14:paraId="2D7B76F2" w14:textId="77777777" w:rsidR="0089282F" w:rsidRPr="00641FBB" w:rsidRDefault="0089282F" w:rsidP="004C42C3">
      <w:pPr>
        <w:pStyle w:val="Heading3"/>
      </w:pPr>
      <w:r w:rsidRPr="00641FBB">
        <w:t>Purpose</w:t>
      </w:r>
    </w:p>
    <w:p w14:paraId="748EEC3E" w14:textId="77777777" w:rsidR="0089282F" w:rsidRPr="00641FBB" w:rsidRDefault="0089282F" w:rsidP="0089282F">
      <w:pPr>
        <w:rPr>
          <w:b/>
        </w:rPr>
      </w:pPr>
      <w:r w:rsidRPr="00641FBB">
        <w:rPr>
          <w:b/>
        </w:rPr>
        <w:t>What is the European Court of Human Rights’ general objective?</w:t>
      </w:r>
    </w:p>
    <w:p w14:paraId="2A09F30F" w14:textId="0A64BEA1" w:rsidR="0089282F" w:rsidRPr="00641FBB" w:rsidRDefault="0089282F" w:rsidP="0089282F">
      <w:pPr>
        <w:pStyle w:val="ListParagraph"/>
        <w:numPr>
          <w:ilvl w:val="0"/>
          <w:numId w:val="18"/>
        </w:numPr>
        <w:spacing w:beforeLines="1" w:before="2" w:afterLines="1" w:after="2"/>
        <w:rPr>
          <w:rFonts w:cs="Times New Roman"/>
        </w:rPr>
      </w:pPr>
      <w:r w:rsidRPr="00641FBB">
        <w:rPr>
          <w:rFonts w:cs="Times New Roman"/>
        </w:rPr>
        <w:t>To examine complaints of violation of the ECHR</w:t>
      </w:r>
    </w:p>
    <w:p w14:paraId="01296E5C" w14:textId="73D02D44" w:rsidR="0089282F" w:rsidRPr="00641FBB" w:rsidRDefault="0089282F" w:rsidP="0089282F">
      <w:pPr>
        <w:rPr>
          <w:b/>
        </w:rPr>
      </w:pPr>
      <w:r w:rsidRPr="00641FBB">
        <w:rPr>
          <w:b/>
        </w:rPr>
        <w:t>What are the European Court of Human Rights’ functions?</w:t>
      </w:r>
    </w:p>
    <w:p w14:paraId="79F7C312" w14:textId="3504412E" w:rsidR="0089282F" w:rsidRPr="00641FBB" w:rsidRDefault="0089282F" w:rsidP="0089282F">
      <w:pPr>
        <w:pStyle w:val="ListParagraph"/>
        <w:numPr>
          <w:ilvl w:val="0"/>
          <w:numId w:val="18"/>
        </w:numPr>
      </w:pPr>
      <w:r w:rsidRPr="00641FBB">
        <w:t xml:space="preserve">Interstate complaints (Article 33, ECHR) </w:t>
      </w:r>
    </w:p>
    <w:p w14:paraId="70C2323A" w14:textId="7F454DFC" w:rsidR="0089282F" w:rsidRPr="00641FBB" w:rsidRDefault="0089282F" w:rsidP="0089282F">
      <w:pPr>
        <w:pStyle w:val="ListParagraph"/>
        <w:numPr>
          <w:ilvl w:val="0"/>
          <w:numId w:val="18"/>
        </w:numPr>
      </w:pPr>
      <w:r w:rsidRPr="00641FBB">
        <w:t xml:space="preserve">Individual complaints (Article 34, ECHR) </w:t>
      </w:r>
    </w:p>
    <w:p w14:paraId="0895BF15" w14:textId="6000B9D5" w:rsidR="0089282F" w:rsidRPr="00641FBB" w:rsidRDefault="0089282F" w:rsidP="0089282F">
      <w:pPr>
        <w:pStyle w:val="ListParagraph"/>
        <w:numPr>
          <w:ilvl w:val="0"/>
          <w:numId w:val="18"/>
        </w:numPr>
      </w:pPr>
      <w:r w:rsidRPr="00641FBB">
        <w:t>Fact-finding (in the context of individual complaints only and an optional step in the procedure)</w:t>
      </w:r>
    </w:p>
    <w:p w14:paraId="73AD1E26" w14:textId="2088CB69" w:rsidR="0089282F" w:rsidRPr="00641FBB" w:rsidRDefault="0089282F" w:rsidP="004C42C3">
      <w:pPr>
        <w:pStyle w:val="Heading3"/>
      </w:pPr>
      <w:r w:rsidRPr="00641FBB">
        <w:t>Composition</w:t>
      </w:r>
    </w:p>
    <w:p w14:paraId="4664B537" w14:textId="5F8A1D83" w:rsidR="0089282F" w:rsidRPr="00641FBB" w:rsidRDefault="0089282F" w:rsidP="0089282F">
      <w:pPr>
        <w:rPr>
          <w:b/>
        </w:rPr>
      </w:pPr>
      <w:r w:rsidRPr="00641FBB">
        <w:rPr>
          <w:b/>
        </w:rPr>
        <w:t>How many persons compose the European Court of Human Rights?</w:t>
      </w:r>
    </w:p>
    <w:p w14:paraId="04AD21AA" w14:textId="1597F758" w:rsidR="0089282F" w:rsidRPr="00641FBB" w:rsidRDefault="005244D6" w:rsidP="0089282F">
      <w:pPr>
        <w:pStyle w:val="ListParagraph"/>
        <w:numPr>
          <w:ilvl w:val="0"/>
          <w:numId w:val="18"/>
        </w:numPr>
      </w:pPr>
      <w:r w:rsidRPr="00641FBB">
        <w:t>A</w:t>
      </w:r>
      <w:r w:rsidR="0089282F" w:rsidRPr="00641FBB">
        <w:t xml:space="preserve">s many judges as there are </w:t>
      </w:r>
      <w:r w:rsidR="00A3289B" w:rsidRPr="00641FBB">
        <w:t>States parties</w:t>
      </w:r>
      <w:r w:rsidR="0089282F" w:rsidRPr="00641FBB">
        <w:t xml:space="preserve"> to the European Convention on Human Rights</w:t>
      </w:r>
    </w:p>
    <w:p w14:paraId="1569C38A" w14:textId="745E66EB" w:rsidR="0089282F" w:rsidRPr="00641FBB" w:rsidRDefault="0089282F" w:rsidP="0089282F">
      <w:pPr>
        <w:rPr>
          <w:b/>
        </w:rPr>
      </w:pPr>
      <w:r w:rsidRPr="00641FBB">
        <w:rPr>
          <w:b/>
        </w:rPr>
        <w:t>Are these persons independent experts or state representatives?</w:t>
      </w:r>
    </w:p>
    <w:p w14:paraId="649F3DC7" w14:textId="01F8BA66" w:rsidR="0089282F" w:rsidRPr="00641FBB" w:rsidRDefault="0089282F" w:rsidP="0089282F">
      <w:pPr>
        <w:pStyle w:val="ListParagraph"/>
        <w:numPr>
          <w:ilvl w:val="0"/>
          <w:numId w:val="18"/>
        </w:numPr>
        <w:rPr>
          <w:b/>
        </w:rPr>
      </w:pPr>
      <w:r w:rsidRPr="00641FBB">
        <w:t>Independent experts</w:t>
      </w:r>
    </w:p>
    <w:p w14:paraId="4B4A59C3" w14:textId="1F6A2D4C" w:rsidR="009C0309" w:rsidRPr="00641FBB" w:rsidRDefault="00206E5F" w:rsidP="009C0309">
      <w:pPr>
        <w:pStyle w:val="Heading3"/>
      </w:pPr>
      <w:r w:rsidRPr="00641FBB">
        <w:t>What are the Admissibility Requirements?</w:t>
      </w:r>
    </w:p>
    <w:p w14:paraId="43BF404C" w14:textId="47588644" w:rsidR="009C0309" w:rsidRPr="00641FBB" w:rsidRDefault="00206E5F" w:rsidP="009C0309">
      <w:pPr>
        <w:rPr>
          <w:rFonts w:cs="Times New Roman"/>
        </w:rPr>
      </w:pPr>
      <w:r w:rsidRPr="00641FBB">
        <w:rPr>
          <w:rFonts w:cs="Times New Roman"/>
        </w:rPr>
        <w:t>A</w:t>
      </w:r>
      <w:r w:rsidRPr="00641FBB">
        <w:t xml:space="preserve"> communication will be declared inadmissible if:</w:t>
      </w:r>
      <w:r w:rsidRPr="00641FBB">
        <w:rPr>
          <w:rFonts w:cs="Times New Roman"/>
        </w:rPr>
        <w:t xml:space="preserve"> </w:t>
      </w:r>
    </w:p>
    <w:p w14:paraId="5B038CC6" w14:textId="3AA571D5" w:rsidR="009C0309" w:rsidRPr="00641FBB" w:rsidRDefault="009C0309" w:rsidP="009C0309">
      <w:pPr>
        <w:pStyle w:val="ListParagraph"/>
        <w:numPr>
          <w:ilvl w:val="0"/>
          <w:numId w:val="16"/>
        </w:numPr>
        <w:rPr>
          <w:rFonts w:cs="Times New Roman"/>
        </w:rPr>
      </w:pPr>
      <w:r w:rsidRPr="00641FBB">
        <w:rPr>
          <w:rFonts w:cs="Times New Roman"/>
        </w:rPr>
        <w:t xml:space="preserve">The communication is anonymous; </w:t>
      </w:r>
    </w:p>
    <w:p w14:paraId="323C72A1" w14:textId="17BE873D" w:rsidR="009C0309" w:rsidRPr="00641FBB" w:rsidRDefault="009C0309" w:rsidP="009C0309">
      <w:pPr>
        <w:pStyle w:val="ListParagraph"/>
        <w:numPr>
          <w:ilvl w:val="0"/>
          <w:numId w:val="16"/>
        </w:numPr>
        <w:rPr>
          <w:rFonts w:cs="Times New Roman"/>
        </w:rPr>
      </w:pPr>
      <w:r w:rsidRPr="00641FBB">
        <w:rPr>
          <w:rFonts w:cs="Times New Roman"/>
        </w:rPr>
        <w:t xml:space="preserve">The communication has not been submitted within six months of the date of the domestic authorities' final decision in the case; </w:t>
      </w:r>
    </w:p>
    <w:p w14:paraId="54065724" w14:textId="167C7072" w:rsidR="009C0309" w:rsidRPr="00641FBB" w:rsidRDefault="009C0309" w:rsidP="00431D56">
      <w:pPr>
        <w:pStyle w:val="ListParagraph"/>
        <w:numPr>
          <w:ilvl w:val="0"/>
          <w:numId w:val="16"/>
        </w:numPr>
        <w:rPr>
          <w:rFonts w:cs="Times New Roman"/>
        </w:rPr>
      </w:pPr>
      <w:r w:rsidRPr="00641FBB">
        <w:rPr>
          <w:rFonts w:cs="Times New Roman"/>
        </w:rPr>
        <w:t>The</w:t>
      </w:r>
      <w:r w:rsidR="0074562D" w:rsidRPr="00641FBB">
        <w:rPr>
          <w:rFonts w:cs="Times New Roman"/>
        </w:rPr>
        <w:t xml:space="preserve"> communication is </w:t>
      </w:r>
      <w:r w:rsidR="009212A7" w:rsidRPr="00641FBB">
        <w:rPr>
          <w:rFonts w:cs="Times New Roman"/>
        </w:rPr>
        <w:t>“</w:t>
      </w:r>
      <w:r w:rsidR="0074562D" w:rsidRPr="00641FBB">
        <w:rPr>
          <w:rFonts w:cs="Times New Roman"/>
        </w:rPr>
        <w:t>manifestly ill-</w:t>
      </w:r>
      <w:r w:rsidRPr="00641FBB">
        <w:rPr>
          <w:rFonts w:cs="Times New Roman"/>
        </w:rPr>
        <w:t>founded or an abuse of the right of petition</w:t>
      </w:r>
      <w:r w:rsidR="009212A7" w:rsidRPr="00641FBB">
        <w:rPr>
          <w:rFonts w:cs="Times New Roman"/>
        </w:rPr>
        <w:t xml:space="preserve">” (a preliminary examination of the petition </w:t>
      </w:r>
      <w:r w:rsidR="00431D56" w:rsidRPr="00641FBB">
        <w:rPr>
          <w:rFonts w:cs="Times New Roman"/>
        </w:rPr>
        <w:t>does not point to</w:t>
      </w:r>
      <w:r w:rsidR="009212A7" w:rsidRPr="00641FBB">
        <w:rPr>
          <w:rFonts w:cs="Times New Roman"/>
        </w:rPr>
        <w:t xml:space="preserve"> any appearance of a violation</w:t>
      </w:r>
      <w:r w:rsidR="00431D56" w:rsidRPr="00641FBB">
        <w:rPr>
          <w:rFonts w:cs="Times New Roman"/>
        </w:rPr>
        <w:t xml:space="preserve"> of rights protected under the ECHR—where the petition can be immediately declared inadmissible without having to proceed to the formal examination on the merits)</w:t>
      </w:r>
      <w:r w:rsidRPr="00641FBB">
        <w:rPr>
          <w:rFonts w:cs="Times New Roman"/>
        </w:rPr>
        <w:t xml:space="preserve">; </w:t>
      </w:r>
    </w:p>
    <w:p w14:paraId="1249D2F4" w14:textId="1C4E9E06" w:rsidR="009C0309" w:rsidRPr="00641FBB" w:rsidRDefault="009C0309" w:rsidP="009C0309">
      <w:pPr>
        <w:pStyle w:val="ListParagraph"/>
        <w:numPr>
          <w:ilvl w:val="0"/>
          <w:numId w:val="16"/>
        </w:numPr>
        <w:rPr>
          <w:rFonts w:cs="Times New Roman"/>
        </w:rPr>
      </w:pPr>
      <w:r w:rsidRPr="00641FBB">
        <w:rPr>
          <w:rFonts w:cs="Times New Roman"/>
        </w:rPr>
        <w:t xml:space="preserve">The communication is incompatible with the provisions of the Convention </w:t>
      </w:r>
    </w:p>
    <w:p w14:paraId="352E8A12" w14:textId="0F10FC5D" w:rsidR="009C0309" w:rsidRPr="00641FBB" w:rsidRDefault="009C0309" w:rsidP="009C0309">
      <w:pPr>
        <w:pStyle w:val="ListParagraph"/>
        <w:numPr>
          <w:ilvl w:val="0"/>
          <w:numId w:val="16"/>
        </w:numPr>
        <w:rPr>
          <w:rFonts w:cs="Times New Roman"/>
        </w:rPr>
      </w:pPr>
      <w:r w:rsidRPr="00641FBB">
        <w:rPr>
          <w:rFonts w:cs="Times New Roman"/>
        </w:rPr>
        <w:t xml:space="preserve">The application is substantially the same as one that has already been considered by the court or as another procedure of international investigation and contains no new and relevant information; </w:t>
      </w:r>
    </w:p>
    <w:p w14:paraId="5E91CC95" w14:textId="3DE2355C" w:rsidR="00206E5F" w:rsidRPr="00641FBB" w:rsidRDefault="009C0309" w:rsidP="004F14DC">
      <w:pPr>
        <w:pStyle w:val="ListParagraph"/>
        <w:numPr>
          <w:ilvl w:val="0"/>
          <w:numId w:val="16"/>
        </w:numPr>
        <w:rPr>
          <w:rFonts w:cs="Times New Roman"/>
        </w:rPr>
      </w:pPr>
      <w:r w:rsidRPr="00641FBB">
        <w:rPr>
          <w:rFonts w:cs="Times New Roman"/>
        </w:rPr>
        <w:t>Domestic remedies have not been exhausted, except where the remedies are</w:t>
      </w:r>
      <w:r w:rsidR="003820C5" w:rsidRPr="00641FBB">
        <w:rPr>
          <w:rFonts w:cs="Times New Roman"/>
        </w:rPr>
        <w:t xml:space="preserve"> unavailable,</w:t>
      </w:r>
      <w:r w:rsidRPr="00641FBB">
        <w:rPr>
          <w:rFonts w:cs="Times New Roman"/>
        </w:rPr>
        <w:t xml:space="preserve"> ineffective or unreasonably prolonged</w:t>
      </w:r>
      <w:r w:rsidR="003820C5" w:rsidRPr="00641FBB">
        <w:rPr>
          <w:rFonts w:cs="Times New Roman"/>
        </w:rPr>
        <w:t xml:space="preserve"> (and an explanation as to such issues has been provided to the Court)</w:t>
      </w:r>
      <w:r w:rsidRPr="00641FBB">
        <w:rPr>
          <w:rFonts w:cs="Times New Roman"/>
        </w:rPr>
        <w:t>.</w:t>
      </w:r>
    </w:p>
    <w:p w14:paraId="4AD2FD33" w14:textId="1F9E868D" w:rsidR="00206E5F" w:rsidRPr="00641FBB" w:rsidRDefault="00206E5F" w:rsidP="004C42C3">
      <w:r w:rsidRPr="00641FBB">
        <w:t>As of June 1, 2010, in accordanc</w:t>
      </w:r>
      <w:r w:rsidR="009B6D5B" w:rsidRPr="00641FBB">
        <w:t>e with Protocol 14 to the ECHR</w:t>
      </w:r>
      <w:r w:rsidRPr="00641FBB">
        <w:t>, a new admiss</w:t>
      </w:r>
      <w:r w:rsidR="009C0309" w:rsidRPr="00641FBB">
        <w:t>ibility requirement allows the C</w:t>
      </w:r>
      <w:r w:rsidRPr="00641FBB">
        <w:t xml:space="preserve">ourt to declare inadmissible applications where the applicant has not suffered a significant disadvantage, unless </w:t>
      </w:r>
      <w:r w:rsidR="009B6D5B" w:rsidRPr="00641FBB">
        <w:t xml:space="preserve">“respect for human rights” requires </w:t>
      </w:r>
      <w:r w:rsidRPr="00641FBB">
        <w:t>an examination on the merits</w:t>
      </w:r>
      <w:r w:rsidR="001948B3" w:rsidRPr="00641FBB">
        <w:t>,</w:t>
      </w:r>
      <w:r w:rsidR="005244D6" w:rsidRPr="00641FBB">
        <w:t xml:space="preserve"> and</w:t>
      </w:r>
      <w:r w:rsidR="009B6D5B" w:rsidRPr="00641FBB">
        <w:t xml:space="preserve"> no domestic judicial remedy is available</w:t>
      </w:r>
      <w:r w:rsidRPr="00641FBB">
        <w:t>.</w:t>
      </w:r>
      <w:r w:rsidR="009B6D5B" w:rsidRPr="00641FBB">
        <w:rPr>
          <w:rStyle w:val="FootnoteReference"/>
        </w:rPr>
        <w:footnoteReference w:id="5"/>
      </w:r>
      <w:r w:rsidRPr="00641FBB">
        <w:t xml:space="preserve"> </w:t>
      </w:r>
      <w:r w:rsidR="001948B3" w:rsidRPr="00641FBB">
        <w:t>These are known as “minor complaints.”</w:t>
      </w:r>
    </w:p>
    <w:p w14:paraId="1B487887" w14:textId="77777777" w:rsidR="00206E5F" w:rsidRPr="00641FBB" w:rsidRDefault="00206E5F" w:rsidP="004C42C3">
      <w:pPr>
        <w:pStyle w:val="Heading3"/>
      </w:pPr>
      <w:r w:rsidRPr="00641FBB">
        <w:t>What Should Your Application Contain?</w:t>
      </w:r>
    </w:p>
    <w:p w14:paraId="46449534" w14:textId="77777777" w:rsidR="00206E5F" w:rsidRPr="00641FBB" w:rsidRDefault="00206E5F" w:rsidP="009C0309">
      <w:r w:rsidRPr="00641FBB">
        <w:t xml:space="preserve">Your initial letter should contain: </w:t>
      </w:r>
    </w:p>
    <w:p w14:paraId="501CD4A4" w14:textId="77777777" w:rsidR="00206E5F" w:rsidRPr="00641FBB" w:rsidRDefault="00206E5F" w:rsidP="009C0309">
      <w:pPr>
        <w:pStyle w:val="ListParagraph"/>
        <w:numPr>
          <w:ilvl w:val="0"/>
          <w:numId w:val="17"/>
        </w:numPr>
      </w:pPr>
      <w:r w:rsidRPr="00641FBB">
        <w:t xml:space="preserve">A brief summary of your complaints; </w:t>
      </w:r>
    </w:p>
    <w:p w14:paraId="7D166EDE" w14:textId="53FC8A59" w:rsidR="00206E5F" w:rsidRPr="00641FBB" w:rsidRDefault="00206E5F" w:rsidP="009C0309">
      <w:pPr>
        <w:pStyle w:val="ListParagraph"/>
        <w:numPr>
          <w:ilvl w:val="0"/>
          <w:numId w:val="17"/>
        </w:numPr>
      </w:pPr>
      <w:r w:rsidRPr="00641FBB">
        <w:t xml:space="preserve">An indication of which rights </w:t>
      </w:r>
      <w:r w:rsidR="005244D6" w:rsidRPr="00641FBB">
        <w:t xml:space="preserve">in the </w:t>
      </w:r>
      <w:r w:rsidR="003820C5" w:rsidRPr="00641FBB">
        <w:t>ECHR</w:t>
      </w:r>
      <w:r w:rsidR="005244D6" w:rsidRPr="00641FBB">
        <w:t xml:space="preserve"> </w:t>
      </w:r>
      <w:r w:rsidRPr="00641FBB">
        <w:t xml:space="preserve">you think have been violated; </w:t>
      </w:r>
    </w:p>
    <w:p w14:paraId="60A82BF0" w14:textId="7237FF4E" w:rsidR="00206E5F" w:rsidRPr="00641FBB" w:rsidRDefault="00206E5F" w:rsidP="009C0309">
      <w:pPr>
        <w:pStyle w:val="ListParagraph"/>
        <w:numPr>
          <w:ilvl w:val="0"/>
          <w:numId w:val="17"/>
        </w:numPr>
      </w:pPr>
      <w:r w:rsidRPr="00641FBB">
        <w:t xml:space="preserve">An indication of the </w:t>
      </w:r>
      <w:r w:rsidR="003820C5" w:rsidRPr="00641FBB">
        <w:t xml:space="preserve">domestic </w:t>
      </w:r>
      <w:r w:rsidRPr="00641FBB">
        <w:t>remedies you have used</w:t>
      </w:r>
      <w:r w:rsidR="003820C5" w:rsidRPr="00641FBB">
        <w:t xml:space="preserve"> or attempted to use</w:t>
      </w:r>
      <w:r w:rsidRPr="00641FBB">
        <w:t xml:space="preserve">; </w:t>
      </w:r>
      <w:r w:rsidR="009C0309" w:rsidRPr="00641FBB">
        <w:t>and</w:t>
      </w:r>
    </w:p>
    <w:p w14:paraId="2EAA889B" w14:textId="3DF4C56C" w:rsidR="00206E5F" w:rsidRPr="00641FBB" w:rsidRDefault="00206E5F" w:rsidP="009C0309">
      <w:pPr>
        <w:pStyle w:val="ListParagraph"/>
        <w:numPr>
          <w:ilvl w:val="0"/>
          <w:numId w:val="17"/>
        </w:numPr>
      </w:pPr>
      <w:r w:rsidRPr="00641FBB">
        <w:t>A list of the official decisions in your case, including the date of each decision,</w:t>
      </w:r>
      <w:r w:rsidR="00DB64C1" w:rsidRPr="00641FBB">
        <w:t xml:space="preserve"> by</w:t>
      </w:r>
      <w:r w:rsidRPr="00641FBB">
        <w:t xml:space="preserve"> who</w:t>
      </w:r>
      <w:r w:rsidR="005244D6" w:rsidRPr="00641FBB">
        <w:t>m</w:t>
      </w:r>
      <w:r w:rsidRPr="00641FBB">
        <w:t xml:space="preserve"> it was made, and an indication of what it said (attach a copy of each of these decisions). </w:t>
      </w:r>
    </w:p>
    <w:p w14:paraId="17D00189" w14:textId="0DA31FCD" w:rsidR="00F7326F" w:rsidRPr="00641FBB" w:rsidRDefault="00F7326F" w:rsidP="00F7326F">
      <w:r w:rsidRPr="00641FBB">
        <w:rPr>
          <w:rFonts w:cs="Times New Roman"/>
        </w:rPr>
        <w:t>An application form and more information on lodging applications before the ECtHR may be obtained from the ECtHR website (</w:t>
      </w:r>
      <w:hyperlink r:id="rId56" w:history="1">
        <w:r w:rsidRPr="00641FBB">
          <w:rPr>
            <w:rStyle w:val="Hyperlink"/>
          </w:rPr>
          <w:t>http://www.echr.coe.int/Pages/home.aspx?p=applicants&amp;c=</w:t>
        </w:r>
      </w:hyperlink>
      <w:r w:rsidRPr="00641FBB">
        <w:rPr>
          <w:rFonts w:cs="Times New Roman"/>
        </w:rPr>
        <w:t>).</w:t>
      </w:r>
    </w:p>
    <w:p w14:paraId="073FAAF5" w14:textId="02BF0D13" w:rsidR="007D183F" w:rsidRPr="00641FBB" w:rsidRDefault="00206E5F" w:rsidP="009B6D5B">
      <w:pPr>
        <w:pStyle w:val="Heading3"/>
        <w:keepNext/>
      </w:pPr>
      <w:r w:rsidRPr="00641FBB">
        <w:t xml:space="preserve">Table: Basic Chronology of </w:t>
      </w:r>
      <w:r w:rsidR="009D4A63">
        <w:t xml:space="preserve">the </w:t>
      </w:r>
      <w:r w:rsidRPr="00641FBB">
        <w:t xml:space="preserve">Individual Complaint Procedure </w:t>
      </w:r>
      <w:r w:rsidR="0089282F" w:rsidRPr="00641FBB">
        <w:t>of</w:t>
      </w:r>
      <w:r w:rsidRPr="00641FBB">
        <w:t xml:space="preserve"> the E</w:t>
      </w:r>
      <w:r w:rsidR="009C0309" w:rsidRPr="00641FBB">
        <w:t xml:space="preserve">uropean </w:t>
      </w:r>
      <w:r w:rsidRPr="00641FBB">
        <w:t>C</w:t>
      </w:r>
      <w:r w:rsidR="009C0309" w:rsidRPr="00641FBB">
        <w:t xml:space="preserve">ourt of </w:t>
      </w:r>
      <w:r w:rsidRPr="00641FBB">
        <w:t>H</w:t>
      </w:r>
      <w:r w:rsidR="009C0309" w:rsidRPr="00641FBB">
        <w:t xml:space="preserve">uman </w:t>
      </w:r>
      <w:r w:rsidRPr="00641FBB">
        <w:t>R</w:t>
      </w:r>
      <w:r w:rsidR="009C0309" w:rsidRPr="00641FBB">
        <w:t>ights</w:t>
      </w:r>
      <w:r w:rsidR="009C0309" w:rsidRPr="00641FBB">
        <w:rPr>
          <w:rStyle w:val="FootnoteReference"/>
        </w:rPr>
        <w:footnoteReference w:id="6"/>
      </w:r>
    </w:p>
    <w:p w14:paraId="2B2CCE15" w14:textId="04EBB949" w:rsidR="009C0309" w:rsidRPr="00641FBB" w:rsidRDefault="001B0223" w:rsidP="009C0309">
      <w:r w:rsidRPr="00641FBB">
        <w:rPr>
          <w:noProof/>
          <w:vertAlign w:val="subscript"/>
        </w:rPr>
        <w:drawing>
          <wp:inline distT="0" distB="0" distL="0" distR="0" wp14:anchorId="622FE774" wp14:editId="22B22FA1">
            <wp:extent cx="5942219" cy="676486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R-ANA - ECHR-Ana.jpeg"/>
                    <pic:cNvPicPr/>
                  </pic:nvPicPr>
                  <pic:blipFill rotWithShape="1">
                    <a:blip r:embed="rId57">
                      <a:extLst>
                        <a:ext uri="{28A0092B-C50C-407E-A947-70E740481C1C}">
                          <a14:useLocalDpi xmlns:a14="http://schemas.microsoft.com/office/drawing/2010/main" val="0"/>
                        </a:ext>
                      </a:extLst>
                    </a:blip>
                    <a:srcRect t="6935" b="5096"/>
                    <a:stretch/>
                  </pic:blipFill>
                  <pic:spPr bwMode="auto">
                    <a:xfrm>
                      <a:off x="0" y="0"/>
                      <a:ext cx="5943600" cy="6766439"/>
                    </a:xfrm>
                    <a:prstGeom prst="rect">
                      <a:avLst/>
                    </a:prstGeom>
                    <a:ln>
                      <a:noFill/>
                    </a:ln>
                    <a:extLst>
                      <a:ext uri="{53640926-AAD7-44D8-BBD7-CCE9431645EC}">
                        <a14:shadowObscured xmlns:a14="http://schemas.microsoft.com/office/drawing/2010/main"/>
                      </a:ext>
                    </a:extLst>
                  </pic:spPr>
                </pic:pic>
              </a:graphicData>
            </a:graphic>
          </wp:inline>
        </w:drawing>
      </w:r>
    </w:p>
    <w:p w14:paraId="0B38FD1C" w14:textId="69420032" w:rsidR="00362CA9" w:rsidRPr="00641FBB" w:rsidRDefault="00362CA9" w:rsidP="004C42C3">
      <w:pPr>
        <w:pStyle w:val="Heading3"/>
      </w:pPr>
      <w:r w:rsidRPr="00641FBB">
        <w:t>Practicalities of the Use of</w:t>
      </w:r>
      <w:r w:rsidR="0089282F" w:rsidRPr="00641FBB">
        <w:t xml:space="preserve"> the</w:t>
      </w:r>
      <w:r w:rsidRPr="00641FBB">
        <w:t xml:space="preserve"> Individual Complain</w:t>
      </w:r>
      <w:r w:rsidR="004F14DC" w:rsidRPr="00641FBB">
        <w:t>T</w:t>
      </w:r>
      <w:r w:rsidR="0089282F" w:rsidRPr="00641FBB">
        <w:t xml:space="preserve"> Procedure in the European court of </w:t>
      </w:r>
      <w:r w:rsidRPr="00641FBB">
        <w:t>H</w:t>
      </w:r>
      <w:r w:rsidR="0089282F" w:rsidRPr="00641FBB">
        <w:t xml:space="preserve">uman </w:t>
      </w:r>
      <w:r w:rsidRPr="00641FBB">
        <w:t>R</w:t>
      </w:r>
      <w:r w:rsidR="0089282F" w:rsidRPr="00641FBB">
        <w:t>ights</w:t>
      </w:r>
    </w:p>
    <w:p w14:paraId="2452DA43" w14:textId="77777777" w:rsidR="00362CA9" w:rsidRPr="00641FBB" w:rsidRDefault="00362CA9" w:rsidP="00362CA9"/>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375"/>
        <w:gridCol w:w="4895"/>
      </w:tblGrid>
      <w:tr w:rsidR="00362CA9" w:rsidRPr="00641FBB" w14:paraId="3E85AF2F" w14:textId="77777777" w:rsidTr="0089282F">
        <w:trPr>
          <w:trHeight w:val="1501"/>
        </w:trPr>
        <w:tc>
          <w:tcPr>
            <w:tcW w:w="4375" w:type="dxa"/>
            <w:shd w:val="clear" w:color="auto" w:fill="B8CCE4" w:themeFill="accent1" w:themeFillTint="66"/>
          </w:tcPr>
          <w:p w14:paraId="198C13EF" w14:textId="77777777" w:rsidR="00362CA9" w:rsidRPr="00641FBB" w:rsidRDefault="00362CA9" w:rsidP="004F14DC">
            <w:pPr>
              <w:rPr>
                <w:b/>
              </w:rPr>
            </w:pPr>
            <w:r w:rsidRPr="00641FBB">
              <w:rPr>
                <w:b/>
              </w:rPr>
              <w:t>Who can bring a case under this procedure?</w:t>
            </w:r>
          </w:p>
        </w:tc>
        <w:tc>
          <w:tcPr>
            <w:tcW w:w="4895" w:type="dxa"/>
            <w:shd w:val="clear" w:color="auto" w:fill="B8CCE4" w:themeFill="accent1" w:themeFillTint="66"/>
          </w:tcPr>
          <w:p w14:paraId="57438445" w14:textId="1E2E5F74" w:rsidR="00362CA9" w:rsidRPr="00641FBB" w:rsidRDefault="00362CA9" w:rsidP="004F14DC">
            <w:pPr>
              <w:spacing w:before="2" w:after="2"/>
              <w:rPr>
                <w:rFonts w:cs="Times New Roman"/>
              </w:rPr>
            </w:pPr>
            <w:r w:rsidRPr="00641FBB">
              <w:rPr>
                <w:rFonts w:cs="Times New Roman"/>
              </w:rPr>
              <w:t>Individuals, NGOs, and groups of individuals claiming to be victim of a human rights violation; a case can be brought by a close relative of the victim where the victim cannot do so in person, for example, if he</w:t>
            </w:r>
            <w:r w:rsidR="004F14DC" w:rsidRPr="00641FBB">
              <w:rPr>
                <w:rFonts w:cs="Times New Roman"/>
              </w:rPr>
              <w:t xml:space="preserve"> or she has disappeared or died.</w:t>
            </w:r>
          </w:p>
          <w:p w14:paraId="5436346A" w14:textId="77777777" w:rsidR="00362CA9" w:rsidRPr="00641FBB" w:rsidRDefault="00362CA9" w:rsidP="004F14DC"/>
        </w:tc>
      </w:tr>
      <w:tr w:rsidR="00362CA9" w:rsidRPr="00641FBB" w14:paraId="1EF6996C" w14:textId="77777777" w:rsidTr="0089282F">
        <w:trPr>
          <w:trHeight w:val="559"/>
        </w:trPr>
        <w:tc>
          <w:tcPr>
            <w:tcW w:w="4375" w:type="dxa"/>
          </w:tcPr>
          <w:p w14:paraId="299E6E66" w14:textId="77777777" w:rsidR="00362CA9" w:rsidRPr="00641FBB" w:rsidRDefault="00362CA9" w:rsidP="004F14DC">
            <w:pPr>
              <w:rPr>
                <w:b/>
              </w:rPr>
            </w:pPr>
            <w:r w:rsidRPr="00641FBB">
              <w:rPr>
                <w:b/>
              </w:rPr>
              <w:t>Is there a time limit for bringing an application?</w:t>
            </w:r>
          </w:p>
        </w:tc>
        <w:tc>
          <w:tcPr>
            <w:tcW w:w="4895" w:type="dxa"/>
          </w:tcPr>
          <w:p w14:paraId="3DFE0E1B" w14:textId="101BDFE7" w:rsidR="00362CA9" w:rsidRPr="00641FBB" w:rsidRDefault="00362CA9" w:rsidP="004F14DC">
            <w:pPr>
              <w:spacing w:before="2" w:after="2"/>
              <w:rPr>
                <w:rFonts w:cs="Times New Roman"/>
              </w:rPr>
            </w:pPr>
            <w:r w:rsidRPr="00641FBB">
              <w:rPr>
                <w:rFonts w:cs="Times New Roman"/>
              </w:rPr>
              <w:t xml:space="preserve">Six months from the date of the final decision taken in the case by the state authorities </w:t>
            </w:r>
          </w:p>
          <w:p w14:paraId="566FED7C" w14:textId="77777777" w:rsidR="00362CA9" w:rsidRPr="00641FBB" w:rsidRDefault="00362CA9" w:rsidP="004F14DC"/>
        </w:tc>
      </w:tr>
      <w:tr w:rsidR="00362CA9" w:rsidRPr="00641FBB" w14:paraId="5D2D503C" w14:textId="77777777" w:rsidTr="0089282F">
        <w:trPr>
          <w:trHeight w:val="559"/>
        </w:trPr>
        <w:tc>
          <w:tcPr>
            <w:tcW w:w="4375" w:type="dxa"/>
            <w:shd w:val="clear" w:color="auto" w:fill="B8CCE4" w:themeFill="accent1" w:themeFillTint="66"/>
          </w:tcPr>
          <w:p w14:paraId="756882DF" w14:textId="77777777" w:rsidR="00362CA9" w:rsidRPr="00641FBB" w:rsidRDefault="00362CA9" w:rsidP="004F14DC">
            <w:pPr>
              <w:spacing w:before="2" w:after="2"/>
              <w:rPr>
                <w:rFonts w:cs="Times New Roman"/>
                <w:b/>
              </w:rPr>
            </w:pPr>
            <w:r w:rsidRPr="00641FBB">
              <w:rPr>
                <w:rFonts w:cs="Times New Roman"/>
                <w:b/>
              </w:rPr>
              <w:t xml:space="preserve">Can you bring a case under this procedure if you have already brought one under another procedure concerning the same set of facts? </w:t>
            </w:r>
          </w:p>
          <w:p w14:paraId="45719F85" w14:textId="77777777" w:rsidR="00362CA9" w:rsidRPr="00641FBB" w:rsidRDefault="00362CA9" w:rsidP="004F14DC">
            <w:pPr>
              <w:rPr>
                <w:b/>
              </w:rPr>
            </w:pPr>
          </w:p>
        </w:tc>
        <w:tc>
          <w:tcPr>
            <w:tcW w:w="4895" w:type="dxa"/>
            <w:shd w:val="clear" w:color="auto" w:fill="B8CCE4" w:themeFill="accent1" w:themeFillTint="66"/>
          </w:tcPr>
          <w:p w14:paraId="33018A8F" w14:textId="3E1393DA" w:rsidR="00362CA9" w:rsidRPr="00641FBB" w:rsidRDefault="00362CA9" w:rsidP="004F14DC">
            <w:r w:rsidRPr="00641FBB">
              <w:rPr>
                <w:position w:val="2"/>
              </w:rPr>
              <w:t>No</w:t>
            </w:r>
          </w:p>
        </w:tc>
      </w:tr>
      <w:tr w:rsidR="00362CA9" w:rsidRPr="00641FBB" w14:paraId="31F911C9" w14:textId="77777777" w:rsidTr="0089282F">
        <w:trPr>
          <w:trHeight w:val="559"/>
        </w:trPr>
        <w:tc>
          <w:tcPr>
            <w:tcW w:w="4375" w:type="dxa"/>
          </w:tcPr>
          <w:p w14:paraId="2E6C0828" w14:textId="77777777" w:rsidR="00362CA9" w:rsidRPr="00641FBB" w:rsidRDefault="00362CA9" w:rsidP="004F14DC">
            <w:pPr>
              <w:rPr>
                <w:b/>
              </w:rPr>
            </w:pPr>
            <w:r w:rsidRPr="00641FBB">
              <w:rPr>
                <w:b/>
              </w:rPr>
              <w:t>Do you need legal representation?</w:t>
            </w:r>
          </w:p>
        </w:tc>
        <w:tc>
          <w:tcPr>
            <w:tcW w:w="4895" w:type="dxa"/>
          </w:tcPr>
          <w:p w14:paraId="0181B1C3" w14:textId="404DA26F" w:rsidR="00362CA9" w:rsidRPr="00641FBB" w:rsidRDefault="00362CA9" w:rsidP="004F14DC">
            <w:pPr>
              <w:spacing w:before="2" w:after="2"/>
              <w:rPr>
                <w:rFonts w:cs="Times New Roman"/>
              </w:rPr>
            </w:pPr>
            <w:r w:rsidRPr="00641FBB">
              <w:rPr>
                <w:rFonts w:cs="Times New Roman"/>
              </w:rPr>
              <w:t>Legal representation is not necessary at the time of the application, but is required for proceedings after the case has been declared admissible, unless the president of the court gives exceptional permission for the applicant</w:t>
            </w:r>
            <w:r w:rsidR="004F14DC" w:rsidRPr="00641FBB">
              <w:rPr>
                <w:rFonts w:cs="Times New Roman"/>
              </w:rPr>
              <w:t xml:space="preserve"> to present his or her own case.</w:t>
            </w:r>
          </w:p>
          <w:p w14:paraId="678D4766" w14:textId="77777777" w:rsidR="00362CA9" w:rsidRPr="00641FBB" w:rsidRDefault="00362CA9" w:rsidP="004F14DC"/>
        </w:tc>
      </w:tr>
      <w:tr w:rsidR="00362CA9" w:rsidRPr="00641FBB" w14:paraId="33A245A7" w14:textId="77777777" w:rsidTr="0089282F">
        <w:trPr>
          <w:trHeight w:val="559"/>
        </w:trPr>
        <w:tc>
          <w:tcPr>
            <w:tcW w:w="4375" w:type="dxa"/>
            <w:shd w:val="clear" w:color="auto" w:fill="B8CCE4" w:themeFill="accent1" w:themeFillTint="66"/>
          </w:tcPr>
          <w:p w14:paraId="3B2C2961" w14:textId="77777777" w:rsidR="00362CA9" w:rsidRPr="00641FBB" w:rsidRDefault="00362CA9" w:rsidP="004F14DC">
            <w:pPr>
              <w:rPr>
                <w:b/>
              </w:rPr>
            </w:pPr>
            <w:r w:rsidRPr="00641FBB">
              <w:rPr>
                <w:b/>
              </w:rPr>
              <w:t>Is financial assistance available?</w:t>
            </w:r>
          </w:p>
        </w:tc>
        <w:tc>
          <w:tcPr>
            <w:tcW w:w="4895" w:type="dxa"/>
            <w:shd w:val="clear" w:color="auto" w:fill="B8CCE4" w:themeFill="accent1" w:themeFillTint="66"/>
          </w:tcPr>
          <w:p w14:paraId="2D832379" w14:textId="186952E6" w:rsidR="00362CA9" w:rsidRPr="00641FBB" w:rsidRDefault="00362CA9" w:rsidP="004F14DC">
            <w:pPr>
              <w:spacing w:before="2" w:after="2"/>
              <w:rPr>
                <w:rFonts w:cs="Times New Roman"/>
              </w:rPr>
            </w:pPr>
            <w:r w:rsidRPr="00641FBB">
              <w:rPr>
                <w:rFonts w:cs="Times New Roman"/>
              </w:rPr>
              <w:t xml:space="preserve">Yes, but only if the application is communicated to the </w:t>
            </w:r>
            <w:r w:rsidR="009D4A63">
              <w:rPr>
                <w:rFonts w:cs="Times New Roman"/>
              </w:rPr>
              <w:t>S</w:t>
            </w:r>
            <w:r w:rsidR="00A3289B" w:rsidRPr="00641FBB">
              <w:rPr>
                <w:rFonts w:cs="Times New Roman"/>
              </w:rPr>
              <w:t>tate</w:t>
            </w:r>
            <w:r w:rsidRPr="00641FBB">
              <w:rPr>
                <w:rFonts w:cs="Times New Roman"/>
              </w:rPr>
              <w:t>; the applicant will need to fill out a statement of means, signed by a domestic legal aid board, as legal aid is only granted where there is a financial need</w:t>
            </w:r>
            <w:r w:rsidR="004F14DC" w:rsidRPr="00641FBB">
              <w:rPr>
                <w:rFonts w:cs="Times New Roman"/>
              </w:rPr>
              <w:t>.</w:t>
            </w:r>
          </w:p>
          <w:p w14:paraId="1AF4926E" w14:textId="77777777" w:rsidR="00362CA9" w:rsidRPr="00641FBB" w:rsidRDefault="00362CA9" w:rsidP="004F14DC"/>
        </w:tc>
      </w:tr>
      <w:tr w:rsidR="00362CA9" w:rsidRPr="00641FBB" w14:paraId="461EEBD7" w14:textId="77777777" w:rsidTr="0089282F">
        <w:trPr>
          <w:trHeight w:val="516"/>
        </w:trPr>
        <w:tc>
          <w:tcPr>
            <w:tcW w:w="4375" w:type="dxa"/>
          </w:tcPr>
          <w:p w14:paraId="7356DA47" w14:textId="77777777" w:rsidR="00362CA9" w:rsidRPr="00641FBB" w:rsidRDefault="00362CA9" w:rsidP="004F14DC">
            <w:pPr>
              <w:rPr>
                <w:b/>
              </w:rPr>
            </w:pPr>
            <w:r w:rsidRPr="00641FBB">
              <w:rPr>
                <w:b/>
              </w:rPr>
              <w:t>Are amicus curia briefs accepted?</w:t>
            </w:r>
          </w:p>
        </w:tc>
        <w:tc>
          <w:tcPr>
            <w:tcW w:w="4895" w:type="dxa"/>
          </w:tcPr>
          <w:p w14:paraId="6600C1FD" w14:textId="1B9DFAF4" w:rsidR="00362CA9" w:rsidRPr="00641FBB" w:rsidRDefault="00362CA9" w:rsidP="004F14DC">
            <w:r w:rsidRPr="00641FBB">
              <w:t>Yes, with permission (Rule 61 of the Rules of Court)</w:t>
            </w:r>
          </w:p>
        </w:tc>
      </w:tr>
      <w:tr w:rsidR="00362CA9" w:rsidRPr="00641FBB" w14:paraId="18F38E10" w14:textId="77777777" w:rsidTr="0089282F">
        <w:trPr>
          <w:trHeight w:val="559"/>
        </w:trPr>
        <w:tc>
          <w:tcPr>
            <w:tcW w:w="4375" w:type="dxa"/>
            <w:shd w:val="clear" w:color="auto" w:fill="B8CCE4" w:themeFill="accent1" w:themeFillTint="66"/>
          </w:tcPr>
          <w:p w14:paraId="2B4A6448" w14:textId="77777777" w:rsidR="00362CA9" w:rsidRPr="00641FBB" w:rsidRDefault="00362CA9" w:rsidP="004F14DC">
            <w:pPr>
              <w:rPr>
                <w:b/>
              </w:rPr>
            </w:pPr>
            <w:r w:rsidRPr="00641FBB">
              <w:rPr>
                <w:b/>
              </w:rPr>
              <w:t>Who will know about the communication?</w:t>
            </w:r>
          </w:p>
        </w:tc>
        <w:tc>
          <w:tcPr>
            <w:tcW w:w="4895" w:type="dxa"/>
            <w:shd w:val="clear" w:color="auto" w:fill="B8CCE4" w:themeFill="accent1" w:themeFillTint="66"/>
          </w:tcPr>
          <w:p w14:paraId="5FF5FB71" w14:textId="7811F667" w:rsidR="00362CA9" w:rsidRPr="00641FBB" w:rsidRDefault="00362CA9" w:rsidP="004F14DC">
            <w:pPr>
              <w:spacing w:before="2" w:after="2"/>
              <w:rPr>
                <w:rFonts w:cs="Times New Roman"/>
              </w:rPr>
            </w:pPr>
            <w:r w:rsidRPr="00641FBB">
              <w:rPr>
                <w:rFonts w:cs="Times New Roman"/>
              </w:rPr>
              <w:t xml:space="preserve">In principle, the proceedings are public unless the President of the Chamber decides otherwise. </w:t>
            </w:r>
            <w:r w:rsidR="004F14DC" w:rsidRPr="00641FBB">
              <w:rPr>
                <w:rFonts w:cs="Times New Roman"/>
              </w:rPr>
              <w:t>I</w:t>
            </w:r>
            <w:r w:rsidRPr="00641FBB">
              <w:rPr>
                <w:rFonts w:cs="Times New Roman"/>
              </w:rPr>
              <w:t>n exceptional cases, where an applicant does not wish</w:t>
            </w:r>
            <w:r w:rsidRPr="00641FBB">
              <w:rPr>
                <w:rFonts w:cs="Times New Roman"/>
              </w:rPr>
              <w:br/>
              <w:t xml:space="preserve">his or her identity to be made public and submits a statement explaining the reasons for this, anonymity may be authorized by the president. </w:t>
            </w:r>
          </w:p>
          <w:p w14:paraId="7ABBFD5B" w14:textId="77777777" w:rsidR="00362CA9" w:rsidRPr="00641FBB" w:rsidRDefault="00362CA9" w:rsidP="004F14DC"/>
        </w:tc>
      </w:tr>
      <w:tr w:rsidR="00362CA9" w:rsidRPr="00641FBB" w14:paraId="152A3FAB" w14:textId="77777777" w:rsidTr="0089282F">
        <w:trPr>
          <w:trHeight w:val="559"/>
        </w:trPr>
        <w:tc>
          <w:tcPr>
            <w:tcW w:w="4375" w:type="dxa"/>
          </w:tcPr>
          <w:p w14:paraId="529DB4FB" w14:textId="77777777" w:rsidR="00362CA9" w:rsidRPr="00641FBB" w:rsidRDefault="00362CA9" w:rsidP="004F14DC">
            <w:pPr>
              <w:rPr>
                <w:b/>
              </w:rPr>
            </w:pPr>
            <w:r w:rsidRPr="00641FBB">
              <w:rPr>
                <w:b/>
              </w:rPr>
              <w:t>How long does the procedure take?</w:t>
            </w:r>
          </w:p>
        </w:tc>
        <w:tc>
          <w:tcPr>
            <w:tcW w:w="4895" w:type="dxa"/>
          </w:tcPr>
          <w:p w14:paraId="0734F1BB" w14:textId="16B11B5D" w:rsidR="00362CA9" w:rsidRPr="00641FBB" w:rsidRDefault="00362CA9" w:rsidP="004F14DC">
            <w:r w:rsidRPr="00641FBB">
              <w:t>Several years</w:t>
            </w:r>
          </w:p>
        </w:tc>
      </w:tr>
      <w:tr w:rsidR="00362CA9" w:rsidRPr="00641FBB" w14:paraId="6F40525C" w14:textId="77777777" w:rsidTr="0089282F">
        <w:trPr>
          <w:trHeight w:val="559"/>
        </w:trPr>
        <w:tc>
          <w:tcPr>
            <w:tcW w:w="4375" w:type="dxa"/>
            <w:shd w:val="clear" w:color="auto" w:fill="B8CCE4" w:themeFill="accent1" w:themeFillTint="66"/>
          </w:tcPr>
          <w:p w14:paraId="10D94775" w14:textId="77777777" w:rsidR="00362CA9" w:rsidRPr="00641FBB" w:rsidRDefault="00362CA9" w:rsidP="004F14DC">
            <w:pPr>
              <w:rPr>
                <w:b/>
              </w:rPr>
            </w:pPr>
            <w:r w:rsidRPr="00641FBB">
              <w:rPr>
                <w:rFonts w:cs="Times New Roman"/>
                <w:b/>
              </w:rPr>
              <w:t>What measures, if any, can the mechanisms take to assist the court in reaching a decision?</w:t>
            </w:r>
          </w:p>
        </w:tc>
        <w:tc>
          <w:tcPr>
            <w:tcW w:w="4895" w:type="dxa"/>
            <w:shd w:val="clear" w:color="auto" w:fill="B8CCE4" w:themeFill="accent1" w:themeFillTint="66"/>
          </w:tcPr>
          <w:p w14:paraId="7A972027" w14:textId="23738585" w:rsidR="00362CA9" w:rsidRPr="00641FBB" w:rsidRDefault="00362CA9" w:rsidP="004F14DC">
            <w:pPr>
              <w:spacing w:before="2" w:after="2"/>
              <w:rPr>
                <w:rFonts w:cs="Times New Roman"/>
              </w:rPr>
            </w:pPr>
            <w:r w:rsidRPr="00641FBB">
              <w:rPr>
                <w:rFonts w:cs="Times New Roman"/>
              </w:rPr>
              <w:t xml:space="preserve">Fact-finding hearings, expert evidence, written pleadings, </w:t>
            </w:r>
            <w:r w:rsidRPr="00641FBB">
              <w:rPr>
                <w:rFonts w:cs="Times New Roman"/>
                <w:position w:val="2"/>
              </w:rPr>
              <w:t>oral hearings</w:t>
            </w:r>
          </w:p>
          <w:p w14:paraId="12B97168" w14:textId="77777777" w:rsidR="00362CA9" w:rsidRPr="00641FBB" w:rsidRDefault="00362CA9" w:rsidP="004F14DC"/>
        </w:tc>
      </w:tr>
      <w:tr w:rsidR="00362CA9" w:rsidRPr="00641FBB" w14:paraId="73B05D52" w14:textId="77777777" w:rsidTr="0089282F">
        <w:trPr>
          <w:trHeight w:val="516"/>
        </w:trPr>
        <w:tc>
          <w:tcPr>
            <w:tcW w:w="4375" w:type="dxa"/>
          </w:tcPr>
          <w:p w14:paraId="11A47A60" w14:textId="77777777" w:rsidR="00362CA9" w:rsidRPr="00641FBB" w:rsidRDefault="00362CA9" w:rsidP="004F14DC">
            <w:pPr>
              <w:rPr>
                <w:b/>
              </w:rPr>
            </w:pPr>
            <w:r w:rsidRPr="00641FBB">
              <w:rPr>
                <w:b/>
              </w:rPr>
              <w:t>Are provisional or urgent measures available?</w:t>
            </w:r>
          </w:p>
        </w:tc>
        <w:tc>
          <w:tcPr>
            <w:tcW w:w="4895" w:type="dxa"/>
          </w:tcPr>
          <w:p w14:paraId="6DF77E87" w14:textId="7246A742" w:rsidR="00362CA9" w:rsidRPr="00641FBB" w:rsidRDefault="00362CA9" w:rsidP="004F14DC">
            <w:pPr>
              <w:spacing w:before="2" w:after="2"/>
              <w:rPr>
                <w:rFonts w:cs="Times New Roman"/>
              </w:rPr>
            </w:pPr>
            <w:r w:rsidRPr="00641FBB">
              <w:rPr>
                <w:rFonts w:cs="Times New Roman"/>
              </w:rPr>
              <w:t xml:space="preserve">Yes, but they are practices that have been developed by the </w:t>
            </w:r>
            <w:r w:rsidR="001948B3" w:rsidRPr="00641FBB">
              <w:rPr>
                <w:rFonts w:cs="Times New Roman"/>
              </w:rPr>
              <w:t xml:space="preserve">Court </w:t>
            </w:r>
            <w:r w:rsidRPr="00641FBB">
              <w:rPr>
                <w:rFonts w:cs="Times New Roman"/>
              </w:rPr>
              <w:t xml:space="preserve">and have no basis in the convention and are applied only in very specific cases, mainly immigration/ deportation cases, where there is a “real risk” to a person </w:t>
            </w:r>
            <w:r w:rsidR="004F14DC" w:rsidRPr="00641FBB">
              <w:rPr>
                <w:rFonts w:cs="Times New Roman"/>
              </w:rPr>
              <w:t>(Rule 39 of the Rules of Court).</w:t>
            </w:r>
          </w:p>
          <w:p w14:paraId="4ABDF016" w14:textId="77777777" w:rsidR="00362CA9" w:rsidRPr="00641FBB" w:rsidRDefault="00362CA9" w:rsidP="004F14DC"/>
        </w:tc>
      </w:tr>
    </w:tbl>
    <w:p w14:paraId="4FF9111E" w14:textId="0F9D7740" w:rsidR="00362CA9" w:rsidRPr="00641FBB" w:rsidRDefault="00470763" w:rsidP="004F14DC">
      <w:pPr>
        <w:pStyle w:val="Heading3"/>
      </w:pPr>
      <w:r w:rsidRPr="00641FBB">
        <w:t xml:space="preserve">a note on researching european </w:t>
      </w:r>
      <w:r w:rsidR="00362CA9" w:rsidRPr="00641FBB">
        <w:t>Convention</w:t>
      </w:r>
      <w:r w:rsidRPr="00641FBB">
        <w:t xml:space="preserve"> of human rights</w:t>
      </w:r>
      <w:r w:rsidR="00362CA9" w:rsidRPr="00641FBB">
        <w:t xml:space="preserve"> Case Law</w:t>
      </w:r>
    </w:p>
    <w:p w14:paraId="569BA360" w14:textId="6012F966" w:rsidR="00362CA9" w:rsidRPr="00641FBB" w:rsidRDefault="00362CA9" w:rsidP="009C0309">
      <w:r w:rsidRPr="00641FBB">
        <w:t>The original structure of the Court and mechanism for handling cases provided for a two-tier system of rights protection – the European Commission of Human Rights (now obsolete) as well as the E</w:t>
      </w:r>
      <w:r w:rsidR="004F14DC" w:rsidRPr="00641FBB">
        <w:t>uropean Court of Human Rights.</w:t>
      </w:r>
      <w:r w:rsidRPr="00641FBB">
        <w:t xml:space="preserve"> In 1998</w:t>
      </w:r>
      <w:r w:rsidR="004F14DC" w:rsidRPr="00641FBB">
        <w:t>,</w:t>
      </w:r>
      <w:r w:rsidRPr="00641FBB">
        <w:t xml:space="preserve"> Protocol 11 of the European Convention on Human Rights came into force, eliminating the Commission of Human Rights and allowing for the emergence of a new European Court of Human Rights.  If researching a particular topic under the </w:t>
      </w:r>
      <w:r w:rsidR="001948B3" w:rsidRPr="00641FBB">
        <w:t>C</w:t>
      </w:r>
      <w:r w:rsidRPr="00641FBB">
        <w:t xml:space="preserve">onvention case law, </w:t>
      </w:r>
      <w:r w:rsidR="004F14DC" w:rsidRPr="00641FBB">
        <w:t xml:space="preserve">research both </w:t>
      </w:r>
      <w:r w:rsidR="001948B3" w:rsidRPr="00641FBB">
        <w:t xml:space="preserve">Commission </w:t>
      </w:r>
      <w:r w:rsidRPr="00641FBB">
        <w:t xml:space="preserve">and </w:t>
      </w:r>
      <w:r w:rsidR="001948B3" w:rsidRPr="00641FBB">
        <w:t xml:space="preserve">Court </w:t>
      </w:r>
      <w:r w:rsidR="004F14DC" w:rsidRPr="00641FBB">
        <w:t>decisions</w:t>
      </w:r>
      <w:r w:rsidRPr="00641FBB">
        <w:t>.</w:t>
      </w:r>
    </w:p>
    <w:sectPr w:rsidR="00362CA9" w:rsidRPr="00641FBB">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2DD6D" w14:textId="77777777" w:rsidR="00A00F0A" w:rsidRDefault="00A00F0A" w:rsidP="00F305D3">
      <w:pPr>
        <w:spacing w:before="0" w:after="0" w:line="240" w:lineRule="auto"/>
      </w:pPr>
      <w:r>
        <w:separator/>
      </w:r>
    </w:p>
  </w:endnote>
  <w:endnote w:type="continuationSeparator" w:id="0">
    <w:p w14:paraId="40C9EBE5" w14:textId="77777777" w:rsidR="00A00F0A" w:rsidRDefault="00A00F0A" w:rsidP="00F305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TCFranklinGothicStd">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495231"/>
      <w:docPartObj>
        <w:docPartGallery w:val="Page Numbers (Bottom of Page)"/>
        <w:docPartUnique/>
      </w:docPartObj>
    </w:sdtPr>
    <w:sdtEndPr>
      <w:rPr>
        <w:noProof/>
      </w:rPr>
    </w:sdtEndPr>
    <w:sdtContent>
      <w:p w14:paraId="5DD31AA8" w14:textId="0C8DFE3E" w:rsidR="002B7A66" w:rsidRDefault="002B7A66">
        <w:pPr>
          <w:pStyle w:val="Footer"/>
          <w:jc w:val="right"/>
        </w:pPr>
        <w:r>
          <w:fldChar w:fldCharType="begin"/>
        </w:r>
        <w:r>
          <w:instrText xml:space="preserve"> PAGE   \* MERGEFORMAT </w:instrText>
        </w:r>
        <w:r>
          <w:fldChar w:fldCharType="separate"/>
        </w:r>
        <w:r w:rsidR="00A00F0A">
          <w:rPr>
            <w:noProof/>
          </w:rPr>
          <w:t>1</w:t>
        </w:r>
        <w:r>
          <w:rPr>
            <w:noProof/>
          </w:rPr>
          <w:fldChar w:fldCharType="end"/>
        </w:r>
      </w:p>
    </w:sdtContent>
  </w:sdt>
  <w:p w14:paraId="4F83F875" w14:textId="77777777" w:rsidR="002B7A66" w:rsidRDefault="002B7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7315E" w14:textId="77777777" w:rsidR="00A00F0A" w:rsidRDefault="00A00F0A" w:rsidP="00F305D3">
      <w:pPr>
        <w:spacing w:before="0" w:after="0" w:line="240" w:lineRule="auto"/>
      </w:pPr>
      <w:r>
        <w:separator/>
      </w:r>
    </w:p>
  </w:footnote>
  <w:footnote w:type="continuationSeparator" w:id="0">
    <w:p w14:paraId="4D505653" w14:textId="77777777" w:rsidR="00A00F0A" w:rsidRDefault="00A00F0A" w:rsidP="00F305D3">
      <w:pPr>
        <w:spacing w:before="0" w:after="0" w:line="240" w:lineRule="auto"/>
      </w:pPr>
      <w:r>
        <w:continuationSeparator/>
      </w:r>
    </w:p>
  </w:footnote>
  <w:footnote w:id="1">
    <w:p w14:paraId="01822DEF" w14:textId="0AC6A904" w:rsidR="002B7A66" w:rsidRPr="00641FBB" w:rsidRDefault="002B7A66" w:rsidP="00186BFB">
      <w:pPr>
        <w:pStyle w:val="FootnoteText"/>
        <w:jc w:val="left"/>
        <w:rPr>
          <w:sz w:val="18"/>
          <w:szCs w:val="18"/>
        </w:rPr>
      </w:pPr>
      <w:r w:rsidRPr="00641FBB">
        <w:rPr>
          <w:rStyle w:val="FootnoteReference"/>
          <w:i/>
          <w:sz w:val="18"/>
          <w:szCs w:val="18"/>
        </w:rPr>
        <w:footnoteRef/>
      </w:r>
      <w:r w:rsidRPr="00641FBB">
        <w:rPr>
          <w:i/>
          <w:sz w:val="18"/>
          <w:szCs w:val="18"/>
        </w:rPr>
        <w:t xml:space="preserve"> </w:t>
      </w:r>
      <w:r w:rsidRPr="00641FBB">
        <w:rPr>
          <w:sz w:val="18"/>
          <w:szCs w:val="18"/>
        </w:rPr>
        <w:t>See Mini Numa Comty. v. Sec'y of Health &amp; Ors.</w:t>
      </w:r>
      <w:r w:rsidRPr="00641FBB">
        <w:rPr>
          <w:i/>
          <w:sz w:val="18"/>
          <w:szCs w:val="18"/>
        </w:rPr>
        <w:t>, Juzgado del Distrito de Guerrero [JD] [District Court of Guerrero],</w:t>
      </w:r>
      <w:r w:rsidRPr="00641FBB">
        <w:rPr>
          <w:sz w:val="18"/>
          <w:szCs w:val="18"/>
        </w:rPr>
        <w:t xml:space="preserve"> J.A.IA. 1157/2007-II (Mex.); see also Christof Heyns and Frans Viljoen, </w:t>
      </w:r>
      <w:r w:rsidRPr="00641FBB">
        <w:rPr>
          <w:i/>
          <w:sz w:val="18"/>
          <w:szCs w:val="18"/>
        </w:rPr>
        <w:t>The Impact of the United Nations Human Rights Treaties on the Domestic Level</w:t>
      </w:r>
      <w:r w:rsidRPr="00641FBB">
        <w:rPr>
          <w:sz w:val="18"/>
          <w:szCs w:val="18"/>
        </w:rPr>
        <w:t xml:space="preserve"> (The Hague: Kluwer Law International, 2002). (includes discussion for 20 countries of their record in complying with decisions of several major international HR committees).</w:t>
      </w:r>
    </w:p>
  </w:footnote>
  <w:footnote w:id="2">
    <w:p w14:paraId="7C187D58" w14:textId="77777777" w:rsidR="002B7A66" w:rsidRPr="00641FBB" w:rsidRDefault="002B7A66" w:rsidP="00186BFB">
      <w:pPr>
        <w:pStyle w:val="FootnoteText"/>
        <w:contextualSpacing/>
        <w:jc w:val="left"/>
        <w:rPr>
          <w:rFonts w:cs="Arial"/>
          <w:sz w:val="18"/>
          <w:szCs w:val="18"/>
        </w:rPr>
      </w:pPr>
      <w:r w:rsidRPr="00641FBB">
        <w:rPr>
          <w:rStyle w:val="FootnoteReference"/>
          <w:rFonts w:cs="Arial"/>
          <w:sz w:val="18"/>
          <w:szCs w:val="18"/>
        </w:rPr>
        <w:footnoteRef/>
      </w:r>
      <w:r w:rsidRPr="00641FBB">
        <w:rPr>
          <w:rFonts w:cs="Arial"/>
          <w:sz w:val="18"/>
          <w:szCs w:val="18"/>
        </w:rPr>
        <w:t xml:space="preserve"> Office of the UN High Commissioner for Human Rights (OHCHR). Ratifications, Reservations and Declarations. </w:t>
      </w:r>
      <w:hyperlink r:id="rId1" w:history="1">
        <w:r w:rsidRPr="00641FBB">
          <w:rPr>
            <w:rStyle w:val="Hyperlink"/>
            <w:rFonts w:cs="Arial"/>
            <w:sz w:val="18"/>
            <w:szCs w:val="18"/>
          </w:rPr>
          <w:t>http://treaties.un.org/Pages/Treaties.aspx?id=4&amp;subid=A&amp;lang=en</w:t>
        </w:r>
      </w:hyperlink>
      <w:r w:rsidRPr="00641FBB">
        <w:rPr>
          <w:rFonts w:cs="Arial"/>
          <w:sz w:val="18"/>
          <w:szCs w:val="18"/>
        </w:rPr>
        <w:t>. Accessed August 14, 2013.</w:t>
      </w:r>
    </w:p>
  </w:footnote>
  <w:footnote w:id="3">
    <w:p w14:paraId="57B9C926" w14:textId="3263C4CF" w:rsidR="002B7A66" w:rsidRPr="00641FBB" w:rsidRDefault="002B7A66" w:rsidP="00186BFB">
      <w:pPr>
        <w:pStyle w:val="FootnoteText"/>
        <w:jc w:val="left"/>
        <w:rPr>
          <w:sz w:val="18"/>
          <w:szCs w:val="18"/>
        </w:rPr>
      </w:pPr>
      <w:r w:rsidRPr="00641FBB">
        <w:rPr>
          <w:rStyle w:val="FootnoteReference"/>
          <w:sz w:val="18"/>
          <w:szCs w:val="18"/>
        </w:rPr>
        <w:footnoteRef/>
      </w:r>
      <w:r w:rsidRPr="00641FBB">
        <w:rPr>
          <w:sz w:val="18"/>
          <w:szCs w:val="18"/>
        </w:rPr>
        <w:t xml:space="preserve"> Human Rights Complaint Procedure (</w:t>
      </w:r>
      <w:hyperlink r:id="rId2" w:history="1">
        <w:r w:rsidRPr="00641FBB">
          <w:rPr>
            <w:rStyle w:val="Hyperlink"/>
            <w:sz w:val="18"/>
            <w:szCs w:val="18"/>
          </w:rPr>
          <w:t>www.ohchr.org/EN/HRBodies/HRC/ComplaintProcedure/Pages/HRCComplaintProcedureIndex.aspx</w:t>
        </w:r>
      </w:hyperlink>
      <w:r w:rsidRPr="00641FBB">
        <w:rPr>
          <w:sz w:val="18"/>
          <w:szCs w:val="18"/>
        </w:rPr>
        <w:t>).</w:t>
      </w:r>
    </w:p>
  </w:footnote>
  <w:footnote w:id="4">
    <w:p w14:paraId="7E493054" w14:textId="1EDA49CE" w:rsidR="002B7A66" w:rsidRPr="00641FBB" w:rsidRDefault="002B7A66" w:rsidP="00186BFB">
      <w:pPr>
        <w:pStyle w:val="FootnoteText"/>
        <w:jc w:val="left"/>
        <w:rPr>
          <w:sz w:val="18"/>
          <w:szCs w:val="18"/>
        </w:rPr>
      </w:pPr>
      <w:r w:rsidRPr="00641FBB">
        <w:rPr>
          <w:rStyle w:val="FootnoteReference"/>
          <w:sz w:val="18"/>
          <w:szCs w:val="18"/>
        </w:rPr>
        <w:footnoteRef/>
      </w:r>
      <w:r w:rsidRPr="00641FBB">
        <w:rPr>
          <w:sz w:val="18"/>
          <w:szCs w:val="18"/>
        </w:rPr>
        <w:t xml:space="preserve"> Based on </w:t>
      </w:r>
      <w:r w:rsidRPr="004D41F0">
        <w:rPr>
          <w:i/>
          <w:color w:val="000000" w:themeColor="text1"/>
          <w:sz w:val="18"/>
          <w:szCs w:val="18"/>
        </w:rPr>
        <w:t xml:space="preserve">Reported </w:t>
      </w:r>
      <w:r w:rsidRPr="00641FBB">
        <w:rPr>
          <w:i/>
          <w:sz w:val="18"/>
          <w:szCs w:val="18"/>
        </w:rPr>
        <w:t xml:space="preserve">Killing as Human Rights Violations </w:t>
      </w:r>
      <w:r w:rsidRPr="00641FBB">
        <w:rPr>
          <w:sz w:val="18"/>
          <w:szCs w:val="18"/>
        </w:rPr>
        <w:t>by Kate Thompson and Camille Giffard (published by the Human Rights Centre, University of Essex).</w:t>
      </w:r>
    </w:p>
  </w:footnote>
  <w:footnote w:id="5">
    <w:p w14:paraId="65B1E4C5" w14:textId="71212B28" w:rsidR="002B7A66" w:rsidRPr="00641FBB" w:rsidRDefault="002B7A66" w:rsidP="00186BFB">
      <w:pPr>
        <w:pStyle w:val="FootnoteText"/>
        <w:jc w:val="left"/>
        <w:rPr>
          <w:sz w:val="18"/>
          <w:szCs w:val="18"/>
        </w:rPr>
      </w:pPr>
      <w:r w:rsidRPr="00641FBB">
        <w:rPr>
          <w:rStyle w:val="FootnoteReference"/>
          <w:sz w:val="18"/>
          <w:szCs w:val="18"/>
        </w:rPr>
        <w:footnoteRef/>
      </w:r>
      <w:r w:rsidRPr="00641FBB">
        <w:rPr>
          <w:sz w:val="18"/>
          <w:szCs w:val="18"/>
        </w:rPr>
        <w:t xml:space="preserve"> Article 12 of Protocol 14 of the ECHR, amending article 35 of the ECHR.</w:t>
      </w:r>
    </w:p>
  </w:footnote>
  <w:footnote w:id="6">
    <w:p w14:paraId="40843688" w14:textId="6603CCD3" w:rsidR="002B7A66" w:rsidRPr="00641FBB" w:rsidRDefault="002B7A66" w:rsidP="00186BFB">
      <w:pPr>
        <w:pStyle w:val="FootnoteText"/>
        <w:jc w:val="left"/>
        <w:rPr>
          <w:sz w:val="18"/>
          <w:szCs w:val="18"/>
        </w:rPr>
      </w:pPr>
      <w:r w:rsidRPr="00641FBB">
        <w:rPr>
          <w:rStyle w:val="FootnoteReference"/>
          <w:sz w:val="18"/>
          <w:szCs w:val="18"/>
        </w:rPr>
        <w:footnoteRef/>
      </w:r>
      <w:r w:rsidRPr="00641FBB">
        <w:rPr>
          <w:sz w:val="18"/>
          <w:szCs w:val="18"/>
        </w:rPr>
        <w:t xml:space="preserve"> Based on </w:t>
      </w:r>
      <w:r w:rsidRPr="004D41F0">
        <w:rPr>
          <w:i/>
          <w:color w:val="000000" w:themeColor="text1"/>
          <w:sz w:val="18"/>
          <w:szCs w:val="18"/>
        </w:rPr>
        <w:t>Reported</w:t>
      </w:r>
      <w:r w:rsidRPr="002E56D8">
        <w:rPr>
          <w:i/>
          <w:color w:val="FF0000"/>
          <w:sz w:val="18"/>
          <w:szCs w:val="18"/>
        </w:rPr>
        <w:t xml:space="preserve"> </w:t>
      </w:r>
      <w:r w:rsidRPr="009D4A63">
        <w:rPr>
          <w:i/>
          <w:sz w:val="18"/>
          <w:szCs w:val="18"/>
        </w:rPr>
        <w:t>Ki</w:t>
      </w:r>
      <w:r w:rsidRPr="00641FBB">
        <w:rPr>
          <w:i/>
          <w:sz w:val="18"/>
          <w:szCs w:val="18"/>
        </w:rPr>
        <w:t xml:space="preserve">lling as Human Rights Violations </w:t>
      </w:r>
      <w:r w:rsidRPr="00641FBB">
        <w:rPr>
          <w:sz w:val="18"/>
          <w:szCs w:val="18"/>
        </w:rPr>
        <w:t>by Kate Thompson and Camille Giffard (published by the Human Rights Centre, University of Essex) and “Life of an Application” by the European Court of Human Rights, (</w:t>
      </w:r>
      <w:hyperlink r:id="rId3" w:history="1">
        <w:r w:rsidRPr="00641FBB">
          <w:rPr>
            <w:rStyle w:val="Hyperlink"/>
            <w:sz w:val="18"/>
            <w:szCs w:val="18"/>
          </w:rPr>
          <w:t>http://www.echr.coe.int/Documents/Case_processing_ENG.pdf</w:t>
        </w:r>
      </w:hyperlink>
      <w:r w:rsidRPr="00641FBB">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D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DF3C28"/>
    <w:multiLevelType w:val="hybridMultilevel"/>
    <w:tmpl w:val="78223C02"/>
    <w:lvl w:ilvl="0" w:tplc="E4FE720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63112"/>
    <w:multiLevelType w:val="hybridMultilevel"/>
    <w:tmpl w:val="64766B18"/>
    <w:lvl w:ilvl="0" w:tplc="38AC82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2405D"/>
    <w:multiLevelType w:val="hybridMultilevel"/>
    <w:tmpl w:val="BC6281D8"/>
    <w:lvl w:ilvl="0" w:tplc="E4FE720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E43EF"/>
    <w:multiLevelType w:val="multilevel"/>
    <w:tmpl w:val="EF74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8145D3"/>
    <w:multiLevelType w:val="hybridMultilevel"/>
    <w:tmpl w:val="CE18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00001"/>
    <w:multiLevelType w:val="multilevel"/>
    <w:tmpl w:val="A580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7D42B6"/>
    <w:multiLevelType w:val="multilevel"/>
    <w:tmpl w:val="300451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3B66E47"/>
    <w:multiLevelType w:val="hybridMultilevel"/>
    <w:tmpl w:val="B394B4C6"/>
    <w:lvl w:ilvl="0" w:tplc="E4FE720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3906"/>
    <w:multiLevelType w:val="hybridMultilevel"/>
    <w:tmpl w:val="8F788264"/>
    <w:lvl w:ilvl="0" w:tplc="38AC82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E17DA"/>
    <w:multiLevelType w:val="hybridMultilevel"/>
    <w:tmpl w:val="28CA2AC4"/>
    <w:lvl w:ilvl="0" w:tplc="E4FE720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162913"/>
    <w:multiLevelType w:val="hybridMultilevel"/>
    <w:tmpl w:val="FCF8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CD7BF5"/>
    <w:multiLevelType w:val="hybridMultilevel"/>
    <w:tmpl w:val="7332C556"/>
    <w:lvl w:ilvl="0" w:tplc="38AC82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0E2240"/>
    <w:multiLevelType w:val="hybridMultilevel"/>
    <w:tmpl w:val="6FBE6A60"/>
    <w:lvl w:ilvl="0" w:tplc="38AC82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B75A4"/>
    <w:multiLevelType w:val="hybridMultilevel"/>
    <w:tmpl w:val="BD5C275E"/>
    <w:lvl w:ilvl="0" w:tplc="BD9A32D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F70FB"/>
    <w:multiLevelType w:val="hybridMultilevel"/>
    <w:tmpl w:val="3004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7426CA"/>
    <w:multiLevelType w:val="multilevel"/>
    <w:tmpl w:val="FCF862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7"/>
  </w:num>
  <w:num w:numId="5">
    <w:abstractNumId w:val="1"/>
  </w:num>
  <w:num w:numId="6">
    <w:abstractNumId w:val="17"/>
  </w:num>
  <w:num w:numId="7">
    <w:abstractNumId w:val="8"/>
  </w:num>
  <w:num w:numId="8">
    <w:abstractNumId w:val="14"/>
  </w:num>
  <w:num w:numId="9">
    <w:abstractNumId w:val="3"/>
  </w:num>
  <w:num w:numId="10">
    <w:abstractNumId w:val="11"/>
  </w:num>
  <w:num w:numId="11">
    <w:abstractNumId w:val="16"/>
  </w:num>
  <w:num w:numId="12">
    <w:abstractNumId w:val="9"/>
  </w:num>
  <w:num w:numId="13">
    <w:abstractNumId w:val="6"/>
  </w:num>
  <w:num w:numId="14">
    <w:abstractNumId w:val="4"/>
  </w:num>
  <w:num w:numId="15">
    <w:abstractNumId w:val="2"/>
  </w:num>
  <w:num w:numId="16">
    <w:abstractNumId w:val="1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FC"/>
    <w:rsid w:val="000048B7"/>
    <w:rsid w:val="00034668"/>
    <w:rsid w:val="000413D0"/>
    <w:rsid w:val="00063729"/>
    <w:rsid w:val="00072A7E"/>
    <w:rsid w:val="000866E4"/>
    <w:rsid w:val="000867DA"/>
    <w:rsid w:val="000874C3"/>
    <w:rsid w:val="000969C0"/>
    <w:rsid w:val="000B6BA5"/>
    <w:rsid w:val="000C5ADC"/>
    <w:rsid w:val="00111BCD"/>
    <w:rsid w:val="00113F6A"/>
    <w:rsid w:val="00122068"/>
    <w:rsid w:val="00123913"/>
    <w:rsid w:val="001315CD"/>
    <w:rsid w:val="00132AD1"/>
    <w:rsid w:val="001366C5"/>
    <w:rsid w:val="00137383"/>
    <w:rsid w:val="001416D6"/>
    <w:rsid w:val="00141A40"/>
    <w:rsid w:val="00151478"/>
    <w:rsid w:val="00155F23"/>
    <w:rsid w:val="0016403E"/>
    <w:rsid w:val="00164E07"/>
    <w:rsid w:val="00177435"/>
    <w:rsid w:val="00186BFB"/>
    <w:rsid w:val="001948B3"/>
    <w:rsid w:val="0019711B"/>
    <w:rsid w:val="001A5162"/>
    <w:rsid w:val="001A7B2D"/>
    <w:rsid w:val="001B0223"/>
    <w:rsid w:val="001B4330"/>
    <w:rsid w:val="001C1CD7"/>
    <w:rsid w:val="001C255D"/>
    <w:rsid w:val="001C670F"/>
    <w:rsid w:val="001D0F53"/>
    <w:rsid w:val="001D3BD4"/>
    <w:rsid w:val="001D48EC"/>
    <w:rsid w:val="001E39FC"/>
    <w:rsid w:val="001F261C"/>
    <w:rsid w:val="00202993"/>
    <w:rsid w:val="00206E5F"/>
    <w:rsid w:val="002155A7"/>
    <w:rsid w:val="00222125"/>
    <w:rsid w:val="00225622"/>
    <w:rsid w:val="0024096F"/>
    <w:rsid w:val="00245B5F"/>
    <w:rsid w:val="00245D77"/>
    <w:rsid w:val="002734C0"/>
    <w:rsid w:val="00275127"/>
    <w:rsid w:val="00276ED6"/>
    <w:rsid w:val="0027782E"/>
    <w:rsid w:val="00292F9B"/>
    <w:rsid w:val="002943A5"/>
    <w:rsid w:val="002A118B"/>
    <w:rsid w:val="002A42B0"/>
    <w:rsid w:val="002B679F"/>
    <w:rsid w:val="002B7A66"/>
    <w:rsid w:val="002C288D"/>
    <w:rsid w:val="002E09F9"/>
    <w:rsid w:val="002E4B2F"/>
    <w:rsid w:val="002E56D8"/>
    <w:rsid w:val="002F707B"/>
    <w:rsid w:val="00301ABA"/>
    <w:rsid w:val="00302B56"/>
    <w:rsid w:val="0031569B"/>
    <w:rsid w:val="003208F6"/>
    <w:rsid w:val="0032373D"/>
    <w:rsid w:val="0032463A"/>
    <w:rsid w:val="00331FAD"/>
    <w:rsid w:val="00332B76"/>
    <w:rsid w:val="00335A1A"/>
    <w:rsid w:val="003473E0"/>
    <w:rsid w:val="0035664A"/>
    <w:rsid w:val="00362CA9"/>
    <w:rsid w:val="00373CDD"/>
    <w:rsid w:val="003820C5"/>
    <w:rsid w:val="00387BD2"/>
    <w:rsid w:val="003A13F4"/>
    <w:rsid w:val="003B3D19"/>
    <w:rsid w:val="003B7161"/>
    <w:rsid w:val="003C2CF1"/>
    <w:rsid w:val="003D30A3"/>
    <w:rsid w:val="003F0FBA"/>
    <w:rsid w:val="00400E0E"/>
    <w:rsid w:val="00404C3D"/>
    <w:rsid w:val="00431D56"/>
    <w:rsid w:val="00434DC7"/>
    <w:rsid w:val="00442115"/>
    <w:rsid w:val="00442899"/>
    <w:rsid w:val="004453E0"/>
    <w:rsid w:val="004464A6"/>
    <w:rsid w:val="00451DD3"/>
    <w:rsid w:val="00460748"/>
    <w:rsid w:val="004669B4"/>
    <w:rsid w:val="00470763"/>
    <w:rsid w:val="00486D7A"/>
    <w:rsid w:val="0049156A"/>
    <w:rsid w:val="004A0CB1"/>
    <w:rsid w:val="004A323F"/>
    <w:rsid w:val="004B0623"/>
    <w:rsid w:val="004B1AC4"/>
    <w:rsid w:val="004B62BB"/>
    <w:rsid w:val="004C42C3"/>
    <w:rsid w:val="004C4CBA"/>
    <w:rsid w:val="004C6BE0"/>
    <w:rsid w:val="004D41F0"/>
    <w:rsid w:val="004D59E2"/>
    <w:rsid w:val="004E1531"/>
    <w:rsid w:val="004F14DC"/>
    <w:rsid w:val="004F3FFF"/>
    <w:rsid w:val="00507554"/>
    <w:rsid w:val="005140C5"/>
    <w:rsid w:val="00514F78"/>
    <w:rsid w:val="00515D77"/>
    <w:rsid w:val="00516194"/>
    <w:rsid w:val="005244D6"/>
    <w:rsid w:val="00524EED"/>
    <w:rsid w:val="00527B27"/>
    <w:rsid w:val="00532D5D"/>
    <w:rsid w:val="0054267E"/>
    <w:rsid w:val="00546037"/>
    <w:rsid w:val="0055386D"/>
    <w:rsid w:val="00555FF9"/>
    <w:rsid w:val="00563DC3"/>
    <w:rsid w:val="00586F98"/>
    <w:rsid w:val="00597213"/>
    <w:rsid w:val="005B66D6"/>
    <w:rsid w:val="005D2ABC"/>
    <w:rsid w:val="00602EC6"/>
    <w:rsid w:val="00610F42"/>
    <w:rsid w:val="00622C32"/>
    <w:rsid w:val="006240EB"/>
    <w:rsid w:val="00634DE9"/>
    <w:rsid w:val="006371D9"/>
    <w:rsid w:val="00637C8B"/>
    <w:rsid w:val="00641FBB"/>
    <w:rsid w:val="006534E6"/>
    <w:rsid w:val="006557B1"/>
    <w:rsid w:val="00661A83"/>
    <w:rsid w:val="006635C2"/>
    <w:rsid w:val="00680F02"/>
    <w:rsid w:val="006826F5"/>
    <w:rsid w:val="006A11DA"/>
    <w:rsid w:val="006D0745"/>
    <w:rsid w:val="006D4789"/>
    <w:rsid w:val="006E0AFF"/>
    <w:rsid w:val="006E312C"/>
    <w:rsid w:val="006E3975"/>
    <w:rsid w:val="00703535"/>
    <w:rsid w:val="00707732"/>
    <w:rsid w:val="00720860"/>
    <w:rsid w:val="00723EFE"/>
    <w:rsid w:val="0073073A"/>
    <w:rsid w:val="00733479"/>
    <w:rsid w:val="0074562D"/>
    <w:rsid w:val="007547C6"/>
    <w:rsid w:val="007578BF"/>
    <w:rsid w:val="007649D8"/>
    <w:rsid w:val="00780534"/>
    <w:rsid w:val="007841E2"/>
    <w:rsid w:val="00785F67"/>
    <w:rsid w:val="00786188"/>
    <w:rsid w:val="007A5539"/>
    <w:rsid w:val="007D183F"/>
    <w:rsid w:val="007D5046"/>
    <w:rsid w:val="007E69F8"/>
    <w:rsid w:val="007F112C"/>
    <w:rsid w:val="007F11A5"/>
    <w:rsid w:val="007F6F13"/>
    <w:rsid w:val="008044FC"/>
    <w:rsid w:val="00811B13"/>
    <w:rsid w:val="008121F2"/>
    <w:rsid w:val="008166A8"/>
    <w:rsid w:val="00820CC2"/>
    <w:rsid w:val="0084424D"/>
    <w:rsid w:val="00853744"/>
    <w:rsid w:val="008651CC"/>
    <w:rsid w:val="0087047F"/>
    <w:rsid w:val="00872FBB"/>
    <w:rsid w:val="00877043"/>
    <w:rsid w:val="00880858"/>
    <w:rsid w:val="00881E11"/>
    <w:rsid w:val="00882364"/>
    <w:rsid w:val="00884008"/>
    <w:rsid w:val="00886CC2"/>
    <w:rsid w:val="00887631"/>
    <w:rsid w:val="0089282F"/>
    <w:rsid w:val="00895B60"/>
    <w:rsid w:val="008A6CE6"/>
    <w:rsid w:val="008C0A4C"/>
    <w:rsid w:val="008C0E3B"/>
    <w:rsid w:val="008C197C"/>
    <w:rsid w:val="008C310B"/>
    <w:rsid w:val="008E0FAE"/>
    <w:rsid w:val="008E2686"/>
    <w:rsid w:val="008F2713"/>
    <w:rsid w:val="009212A7"/>
    <w:rsid w:val="00923055"/>
    <w:rsid w:val="009367AE"/>
    <w:rsid w:val="009369C6"/>
    <w:rsid w:val="009477E9"/>
    <w:rsid w:val="00954A04"/>
    <w:rsid w:val="009734C6"/>
    <w:rsid w:val="009A079B"/>
    <w:rsid w:val="009B6D5B"/>
    <w:rsid w:val="009C0309"/>
    <w:rsid w:val="009D4A63"/>
    <w:rsid w:val="00A00F0A"/>
    <w:rsid w:val="00A15F9D"/>
    <w:rsid w:val="00A163AF"/>
    <w:rsid w:val="00A23D20"/>
    <w:rsid w:val="00A26073"/>
    <w:rsid w:val="00A30811"/>
    <w:rsid w:val="00A308EA"/>
    <w:rsid w:val="00A3289B"/>
    <w:rsid w:val="00A61216"/>
    <w:rsid w:val="00A61BDF"/>
    <w:rsid w:val="00A80133"/>
    <w:rsid w:val="00A84DF1"/>
    <w:rsid w:val="00AA4905"/>
    <w:rsid w:val="00AA5E0F"/>
    <w:rsid w:val="00AC0BC0"/>
    <w:rsid w:val="00AC556B"/>
    <w:rsid w:val="00AC6627"/>
    <w:rsid w:val="00AD5828"/>
    <w:rsid w:val="00AD7F2A"/>
    <w:rsid w:val="00AF0AE2"/>
    <w:rsid w:val="00AF1988"/>
    <w:rsid w:val="00AF584D"/>
    <w:rsid w:val="00B0773E"/>
    <w:rsid w:val="00B111AC"/>
    <w:rsid w:val="00B112E4"/>
    <w:rsid w:val="00B32315"/>
    <w:rsid w:val="00B36136"/>
    <w:rsid w:val="00B450D1"/>
    <w:rsid w:val="00B66941"/>
    <w:rsid w:val="00B677E4"/>
    <w:rsid w:val="00B77E32"/>
    <w:rsid w:val="00B869FC"/>
    <w:rsid w:val="00B937DD"/>
    <w:rsid w:val="00B94C89"/>
    <w:rsid w:val="00BA00DD"/>
    <w:rsid w:val="00BA2B72"/>
    <w:rsid w:val="00BA5443"/>
    <w:rsid w:val="00BB528C"/>
    <w:rsid w:val="00BC3D61"/>
    <w:rsid w:val="00BE1715"/>
    <w:rsid w:val="00BE3073"/>
    <w:rsid w:val="00C03413"/>
    <w:rsid w:val="00C1223B"/>
    <w:rsid w:val="00C75B13"/>
    <w:rsid w:val="00C8393A"/>
    <w:rsid w:val="00C93579"/>
    <w:rsid w:val="00CA3DDA"/>
    <w:rsid w:val="00CA4272"/>
    <w:rsid w:val="00CA4CDB"/>
    <w:rsid w:val="00CC6B59"/>
    <w:rsid w:val="00CD6F71"/>
    <w:rsid w:val="00CD7A94"/>
    <w:rsid w:val="00CE1C2B"/>
    <w:rsid w:val="00CF72BE"/>
    <w:rsid w:val="00D05706"/>
    <w:rsid w:val="00D125CE"/>
    <w:rsid w:val="00D13138"/>
    <w:rsid w:val="00D24273"/>
    <w:rsid w:val="00D30256"/>
    <w:rsid w:val="00D6697B"/>
    <w:rsid w:val="00D86B3F"/>
    <w:rsid w:val="00D91A0B"/>
    <w:rsid w:val="00D95B1A"/>
    <w:rsid w:val="00DB4DE6"/>
    <w:rsid w:val="00DB595A"/>
    <w:rsid w:val="00DB64C1"/>
    <w:rsid w:val="00DC57D4"/>
    <w:rsid w:val="00DD04CF"/>
    <w:rsid w:val="00DD0DFF"/>
    <w:rsid w:val="00DF5C4B"/>
    <w:rsid w:val="00E027D5"/>
    <w:rsid w:val="00E03DDD"/>
    <w:rsid w:val="00E30648"/>
    <w:rsid w:val="00E30AAF"/>
    <w:rsid w:val="00E52AB1"/>
    <w:rsid w:val="00E530DB"/>
    <w:rsid w:val="00E707A4"/>
    <w:rsid w:val="00E723D7"/>
    <w:rsid w:val="00E7351C"/>
    <w:rsid w:val="00E83135"/>
    <w:rsid w:val="00E904E3"/>
    <w:rsid w:val="00E92A67"/>
    <w:rsid w:val="00EA3D21"/>
    <w:rsid w:val="00EB6411"/>
    <w:rsid w:val="00EC1DEE"/>
    <w:rsid w:val="00EC40FD"/>
    <w:rsid w:val="00ED4C81"/>
    <w:rsid w:val="00ED5C05"/>
    <w:rsid w:val="00EE0459"/>
    <w:rsid w:val="00EE0E9B"/>
    <w:rsid w:val="00EF57CF"/>
    <w:rsid w:val="00F053CC"/>
    <w:rsid w:val="00F13A85"/>
    <w:rsid w:val="00F21BB9"/>
    <w:rsid w:val="00F23C70"/>
    <w:rsid w:val="00F24618"/>
    <w:rsid w:val="00F305D3"/>
    <w:rsid w:val="00F343AE"/>
    <w:rsid w:val="00F35815"/>
    <w:rsid w:val="00F4325F"/>
    <w:rsid w:val="00F5333D"/>
    <w:rsid w:val="00F61E2B"/>
    <w:rsid w:val="00F7326F"/>
    <w:rsid w:val="00F80778"/>
    <w:rsid w:val="00F80F6D"/>
    <w:rsid w:val="00F84F33"/>
    <w:rsid w:val="00F86CF4"/>
    <w:rsid w:val="00F87240"/>
    <w:rsid w:val="00F90350"/>
    <w:rsid w:val="00FA05D5"/>
    <w:rsid w:val="00FA281F"/>
    <w:rsid w:val="00FA3336"/>
    <w:rsid w:val="00FE3832"/>
    <w:rsid w:val="00FE6079"/>
    <w:rsid w:val="00FF5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9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FB"/>
    <w:pPr>
      <w:jc w:val="both"/>
    </w:pPr>
    <w:rPr>
      <w:sz w:val="20"/>
      <w:szCs w:val="20"/>
    </w:rPr>
  </w:style>
  <w:style w:type="paragraph" w:styleId="Heading1">
    <w:name w:val="heading 1"/>
    <w:basedOn w:val="Normal"/>
    <w:next w:val="Normal"/>
    <w:link w:val="Heading1Char"/>
    <w:uiPriority w:val="9"/>
    <w:qFormat/>
    <w:rsid w:val="00186BFB"/>
    <w:pPr>
      <w:pBdr>
        <w:top w:val="single" w:sz="24" w:space="0" w:color="003366"/>
        <w:left w:val="single" w:sz="24" w:space="0" w:color="003366"/>
        <w:bottom w:val="single" w:sz="24" w:space="0" w:color="003366"/>
        <w:right w:val="single" w:sz="24" w:space="0" w:color="003366"/>
      </w:pBdr>
      <w:shd w:val="clear" w:color="auto" w:fill="003366"/>
      <w:spacing w:after="0"/>
      <w:jc w:val="left"/>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1D48EC"/>
    <w:pPr>
      <w:pBdr>
        <w:top w:val="single" w:sz="24" w:space="1" w:color="527AA6"/>
        <w:left w:val="single" w:sz="24" w:space="4" w:color="527AA6"/>
        <w:bottom w:val="single" w:sz="24" w:space="1" w:color="527AA6"/>
        <w:right w:val="single" w:sz="24" w:space="4" w:color="527AA6"/>
      </w:pBdr>
      <w:shd w:val="clear" w:color="auto" w:fill="527AA6"/>
      <w:spacing w:after="0"/>
      <w:ind w:left="90" w:right="90"/>
      <w:outlineLvl w:val="1"/>
    </w:pPr>
    <w:rPr>
      <w:b/>
      <w:caps/>
      <w:color w:val="FFFFFF" w:themeColor="background1"/>
      <w:spacing w:val="15"/>
      <w:sz w:val="22"/>
      <w:szCs w:val="22"/>
    </w:rPr>
  </w:style>
  <w:style w:type="paragraph" w:styleId="Heading3">
    <w:name w:val="heading 3"/>
    <w:basedOn w:val="Normal"/>
    <w:next w:val="Normal"/>
    <w:link w:val="Heading3Char"/>
    <w:uiPriority w:val="9"/>
    <w:unhideWhenUsed/>
    <w:qFormat/>
    <w:rsid w:val="001D48EC"/>
    <w:pPr>
      <w:pBdr>
        <w:top w:val="single" w:sz="6" w:space="2" w:color="4F81BD" w:themeColor="accent1"/>
        <w:left w:val="single" w:sz="6" w:space="2" w:color="4F81BD" w:themeColor="accent1"/>
      </w:pBdr>
      <w:spacing w:before="300" w:after="0"/>
      <w:outlineLvl w:val="2"/>
    </w:pPr>
    <w:rPr>
      <w:b/>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1D48EC"/>
    <w:pPr>
      <w:keepNext/>
      <w:pBdr>
        <w:top w:val="single" w:sz="24" w:space="1" w:color="B8CCE4"/>
        <w:left w:val="single" w:sz="24" w:space="4" w:color="B8CCE4"/>
        <w:bottom w:val="single" w:sz="24" w:space="1" w:color="B8CCE4"/>
        <w:right w:val="single" w:sz="24" w:space="4" w:color="B8CCE4"/>
      </w:pBdr>
      <w:shd w:val="clear" w:color="auto" w:fill="B8CCE4"/>
      <w:spacing w:before="300" w:after="0"/>
      <w:ind w:left="86" w:right="187"/>
      <w:outlineLvl w:val="3"/>
    </w:pPr>
    <w:rPr>
      <w:b/>
      <w:caps/>
      <w:color w:val="244061" w:themeColor="accent1" w:themeShade="80"/>
      <w:spacing w:val="10"/>
      <w:sz w:val="22"/>
      <w:szCs w:val="22"/>
    </w:rPr>
  </w:style>
  <w:style w:type="paragraph" w:styleId="Heading5">
    <w:name w:val="heading 5"/>
    <w:basedOn w:val="Normal"/>
    <w:next w:val="Normal"/>
    <w:link w:val="Heading5Char"/>
    <w:uiPriority w:val="9"/>
    <w:unhideWhenUsed/>
    <w:qFormat/>
    <w:rsid w:val="001D48EC"/>
    <w:pPr>
      <w:keepNext/>
      <w:spacing w:before="300" w:after="0"/>
      <w:outlineLvl w:val="4"/>
    </w:pPr>
    <w:rPr>
      <w:b/>
      <w:bCs/>
      <w:color w:val="365F91" w:themeColor="accent1" w:themeShade="BF"/>
      <w:spacing w:val="10"/>
      <w:sz w:val="22"/>
      <w:szCs w:val="22"/>
    </w:rPr>
  </w:style>
  <w:style w:type="paragraph" w:styleId="Heading6">
    <w:name w:val="heading 6"/>
    <w:basedOn w:val="Normal"/>
    <w:next w:val="Normal"/>
    <w:link w:val="Heading6Char"/>
    <w:autoRedefine/>
    <w:uiPriority w:val="9"/>
    <w:unhideWhenUsed/>
    <w:qFormat/>
    <w:rsid w:val="00F5333D"/>
    <w:pPr>
      <w:spacing w:after="0"/>
      <w:outlineLvl w:val="5"/>
    </w:pPr>
    <w:rPr>
      <w:i/>
      <w:iC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6697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D6697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6697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BFB"/>
    <w:rPr>
      <w:b/>
      <w:bCs/>
      <w:caps/>
      <w:color w:val="FFFFFF" w:themeColor="background1"/>
      <w:spacing w:val="15"/>
      <w:sz w:val="28"/>
      <w:shd w:val="clear" w:color="auto" w:fill="003366"/>
    </w:rPr>
  </w:style>
  <w:style w:type="paragraph" w:styleId="ListParagraph">
    <w:name w:val="List Paragraph"/>
    <w:basedOn w:val="Normal"/>
    <w:uiPriority w:val="34"/>
    <w:qFormat/>
    <w:rsid w:val="00D6697B"/>
    <w:pPr>
      <w:ind w:left="720"/>
      <w:contextualSpacing/>
    </w:pPr>
  </w:style>
  <w:style w:type="character" w:customStyle="1" w:styleId="Heading2Char">
    <w:name w:val="Heading 2 Char"/>
    <w:basedOn w:val="DefaultParagraphFont"/>
    <w:link w:val="Heading2"/>
    <w:uiPriority w:val="9"/>
    <w:rsid w:val="001D48EC"/>
    <w:rPr>
      <w:b/>
      <w:caps/>
      <w:color w:val="FFFFFF" w:themeColor="background1"/>
      <w:spacing w:val="15"/>
      <w:shd w:val="clear" w:color="auto" w:fill="527AA6"/>
    </w:rPr>
  </w:style>
  <w:style w:type="character" w:customStyle="1" w:styleId="Heading3Char">
    <w:name w:val="Heading 3 Char"/>
    <w:basedOn w:val="DefaultParagraphFont"/>
    <w:link w:val="Heading3"/>
    <w:uiPriority w:val="9"/>
    <w:rsid w:val="001D48EC"/>
    <w:rPr>
      <w:b/>
      <w:caps/>
      <w:color w:val="243F60" w:themeColor="accent1" w:themeShade="7F"/>
      <w:spacing w:val="15"/>
    </w:rPr>
  </w:style>
  <w:style w:type="character" w:customStyle="1" w:styleId="Heading4Char">
    <w:name w:val="Heading 4 Char"/>
    <w:basedOn w:val="DefaultParagraphFont"/>
    <w:link w:val="Heading4"/>
    <w:uiPriority w:val="9"/>
    <w:rsid w:val="001D48EC"/>
    <w:rPr>
      <w:b/>
      <w:caps/>
      <w:color w:val="244061" w:themeColor="accent1" w:themeShade="80"/>
      <w:spacing w:val="10"/>
      <w:shd w:val="clear" w:color="auto" w:fill="B8CCE4"/>
    </w:rPr>
  </w:style>
  <w:style w:type="paragraph" w:styleId="NoSpacing">
    <w:name w:val="No Spacing"/>
    <w:basedOn w:val="Normal"/>
    <w:link w:val="NoSpacingChar"/>
    <w:uiPriority w:val="1"/>
    <w:qFormat/>
    <w:rsid w:val="00D6697B"/>
    <w:pPr>
      <w:spacing w:before="0" w:after="0" w:line="240" w:lineRule="auto"/>
    </w:pPr>
  </w:style>
  <w:style w:type="character" w:styleId="Hyperlink">
    <w:name w:val="Hyperlink"/>
    <w:basedOn w:val="DefaultParagraphFont"/>
    <w:uiPriority w:val="99"/>
    <w:unhideWhenUsed/>
    <w:rsid w:val="00680F02"/>
    <w:rPr>
      <w:color w:val="0000FF" w:themeColor="hyperlink"/>
      <w:u w:val="single"/>
    </w:rPr>
  </w:style>
  <w:style w:type="character" w:customStyle="1" w:styleId="Heading5Char">
    <w:name w:val="Heading 5 Char"/>
    <w:basedOn w:val="DefaultParagraphFont"/>
    <w:link w:val="Heading5"/>
    <w:uiPriority w:val="9"/>
    <w:rsid w:val="001D48EC"/>
    <w:rPr>
      <w:b/>
      <w:bCs/>
      <w:color w:val="365F91" w:themeColor="accent1" w:themeShade="BF"/>
      <w:spacing w:val="10"/>
    </w:rPr>
  </w:style>
  <w:style w:type="paragraph" w:styleId="BalloonText">
    <w:name w:val="Balloon Text"/>
    <w:basedOn w:val="Normal"/>
    <w:link w:val="BalloonTextChar"/>
    <w:uiPriority w:val="99"/>
    <w:semiHidden/>
    <w:unhideWhenUsed/>
    <w:rsid w:val="00B669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9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4C4CBA"/>
    <w:rPr>
      <w:sz w:val="18"/>
      <w:szCs w:val="18"/>
    </w:rPr>
  </w:style>
  <w:style w:type="paragraph" w:styleId="CommentText">
    <w:name w:val="annotation text"/>
    <w:basedOn w:val="Normal"/>
    <w:link w:val="CommentTextChar"/>
    <w:uiPriority w:val="99"/>
    <w:semiHidden/>
    <w:unhideWhenUsed/>
    <w:rsid w:val="004C4CBA"/>
    <w:pPr>
      <w:spacing w:line="240" w:lineRule="auto"/>
    </w:pPr>
    <w:rPr>
      <w:sz w:val="24"/>
      <w:szCs w:val="24"/>
    </w:rPr>
  </w:style>
  <w:style w:type="character" w:customStyle="1" w:styleId="CommentTextChar">
    <w:name w:val="Comment Text Char"/>
    <w:basedOn w:val="DefaultParagraphFont"/>
    <w:link w:val="CommentText"/>
    <w:uiPriority w:val="99"/>
    <w:semiHidden/>
    <w:rsid w:val="004C4CBA"/>
    <w:rPr>
      <w:sz w:val="24"/>
      <w:szCs w:val="24"/>
    </w:rPr>
  </w:style>
  <w:style w:type="paragraph" w:styleId="CommentSubject">
    <w:name w:val="annotation subject"/>
    <w:basedOn w:val="CommentText"/>
    <w:next w:val="CommentText"/>
    <w:link w:val="CommentSubjectChar"/>
    <w:uiPriority w:val="99"/>
    <w:semiHidden/>
    <w:unhideWhenUsed/>
    <w:rsid w:val="004C4CBA"/>
    <w:rPr>
      <w:b/>
      <w:bCs/>
      <w:sz w:val="20"/>
      <w:szCs w:val="20"/>
    </w:rPr>
  </w:style>
  <w:style w:type="character" w:customStyle="1" w:styleId="CommentSubjectChar">
    <w:name w:val="Comment Subject Char"/>
    <w:basedOn w:val="CommentTextChar"/>
    <w:link w:val="CommentSubject"/>
    <w:uiPriority w:val="99"/>
    <w:semiHidden/>
    <w:rsid w:val="004C4CBA"/>
    <w:rPr>
      <w:b/>
      <w:bCs/>
      <w:sz w:val="20"/>
      <w:szCs w:val="20"/>
    </w:rPr>
  </w:style>
  <w:style w:type="character" w:customStyle="1" w:styleId="Heading6Char">
    <w:name w:val="Heading 6 Char"/>
    <w:basedOn w:val="DefaultParagraphFont"/>
    <w:link w:val="Heading6"/>
    <w:uiPriority w:val="9"/>
    <w:rsid w:val="00F5333D"/>
    <w:rPr>
      <w:i/>
      <w:iCs/>
      <w:color w:val="365F91" w:themeColor="accent1" w:themeShade="BF"/>
      <w:spacing w:val="10"/>
    </w:rPr>
  </w:style>
  <w:style w:type="character" w:customStyle="1" w:styleId="Heading7Char">
    <w:name w:val="Heading 7 Char"/>
    <w:basedOn w:val="DefaultParagraphFont"/>
    <w:link w:val="Heading7"/>
    <w:uiPriority w:val="9"/>
    <w:rsid w:val="00D6697B"/>
    <w:rPr>
      <w:caps/>
      <w:color w:val="365F91" w:themeColor="accent1" w:themeShade="BF"/>
      <w:spacing w:val="10"/>
    </w:rPr>
  </w:style>
  <w:style w:type="character" w:customStyle="1" w:styleId="Heading8Char">
    <w:name w:val="Heading 8 Char"/>
    <w:basedOn w:val="DefaultParagraphFont"/>
    <w:link w:val="Heading8"/>
    <w:uiPriority w:val="9"/>
    <w:rsid w:val="00D6697B"/>
    <w:rPr>
      <w:caps/>
      <w:spacing w:val="10"/>
      <w:sz w:val="18"/>
      <w:szCs w:val="18"/>
    </w:rPr>
  </w:style>
  <w:style w:type="character" w:customStyle="1" w:styleId="Heading9Char">
    <w:name w:val="Heading 9 Char"/>
    <w:basedOn w:val="DefaultParagraphFont"/>
    <w:link w:val="Heading9"/>
    <w:uiPriority w:val="9"/>
    <w:semiHidden/>
    <w:rsid w:val="00D6697B"/>
    <w:rPr>
      <w:i/>
      <w:caps/>
      <w:spacing w:val="10"/>
      <w:sz w:val="18"/>
      <w:szCs w:val="18"/>
    </w:rPr>
  </w:style>
  <w:style w:type="paragraph" w:styleId="Caption">
    <w:name w:val="caption"/>
    <w:basedOn w:val="Normal"/>
    <w:next w:val="Normal"/>
    <w:uiPriority w:val="35"/>
    <w:semiHidden/>
    <w:unhideWhenUsed/>
    <w:qFormat/>
    <w:rsid w:val="00D6697B"/>
    <w:rPr>
      <w:b/>
      <w:bCs/>
      <w:color w:val="365F91" w:themeColor="accent1" w:themeShade="BF"/>
      <w:sz w:val="16"/>
      <w:szCs w:val="16"/>
    </w:rPr>
  </w:style>
  <w:style w:type="paragraph" w:styleId="Title">
    <w:name w:val="Title"/>
    <w:basedOn w:val="Normal"/>
    <w:next w:val="Normal"/>
    <w:link w:val="TitleChar"/>
    <w:uiPriority w:val="10"/>
    <w:qFormat/>
    <w:rsid w:val="00D6697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6697B"/>
    <w:rPr>
      <w:caps/>
      <w:color w:val="4F81BD" w:themeColor="accent1"/>
      <w:spacing w:val="10"/>
      <w:kern w:val="28"/>
      <w:sz w:val="52"/>
      <w:szCs w:val="52"/>
    </w:rPr>
  </w:style>
  <w:style w:type="paragraph" w:styleId="Subtitle">
    <w:name w:val="Subtitle"/>
    <w:basedOn w:val="Normal"/>
    <w:next w:val="Normal"/>
    <w:link w:val="SubtitleChar"/>
    <w:uiPriority w:val="11"/>
    <w:qFormat/>
    <w:rsid w:val="00D6697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6697B"/>
    <w:rPr>
      <w:caps/>
      <w:color w:val="595959" w:themeColor="text1" w:themeTint="A6"/>
      <w:spacing w:val="10"/>
      <w:sz w:val="24"/>
      <w:szCs w:val="24"/>
    </w:rPr>
  </w:style>
  <w:style w:type="character" w:styleId="Strong">
    <w:name w:val="Strong"/>
    <w:uiPriority w:val="22"/>
    <w:qFormat/>
    <w:rsid w:val="00D6697B"/>
    <w:rPr>
      <w:b/>
      <w:bCs/>
    </w:rPr>
  </w:style>
  <w:style w:type="character" w:styleId="Emphasis">
    <w:name w:val="Emphasis"/>
    <w:uiPriority w:val="20"/>
    <w:qFormat/>
    <w:rsid w:val="00D6697B"/>
    <w:rPr>
      <w:caps/>
      <w:color w:val="243F60" w:themeColor="accent1" w:themeShade="7F"/>
      <w:spacing w:val="5"/>
    </w:rPr>
  </w:style>
  <w:style w:type="character" w:customStyle="1" w:styleId="NoSpacingChar">
    <w:name w:val="No Spacing Char"/>
    <w:basedOn w:val="DefaultParagraphFont"/>
    <w:link w:val="NoSpacing"/>
    <w:uiPriority w:val="1"/>
    <w:rsid w:val="00D6697B"/>
    <w:rPr>
      <w:sz w:val="20"/>
      <w:szCs w:val="20"/>
    </w:rPr>
  </w:style>
  <w:style w:type="paragraph" w:styleId="Quote">
    <w:name w:val="Quote"/>
    <w:basedOn w:val="Normal"/>
    <w:next w:val="Normal"/>
    <w:link w:val="QuoteChar"/>
    <w:uiPriority w:val="29"/>
    <w:qFormat/>
    <w:rsid w:val="00D6697B"/>
    <w:rPr>
      <w:i/>
      <w:iCs/>
    </w:rPr>
  </w:style>
  <w:style w:type="character" w:customStyle="1" w:styleId="QuoteChar">
    <w:name w:val="Quote Char"/>
    <w:basedOn w:val="DefaultParagraphFont"/>
    <w:link w:val="Quote"/>
    <w:uiPriority w:val="29"/>
    <w:rsid w:val="00D6697B"/>
    <w:rPr>
      <w:i/>
      <w:iCs/>
      <w:sz w:val="20"/>
      <w:szCs w:val="20"/>
    </w:rPr>
  </w:style>
  <w:style w:type="paragraph" w:styleId="IntenseQuote">
    <w:name w:val="Intense Quote"/>
    <w:basedOn w:val="Normal"/>
    <w:next w:val="Normal"/>
    <w:link w:val="IntenseQuoteChar"/>
    <w:uiPriority w:val="30"/>
    <w:qFormat/>
    <w:rsid w:val="00D6697B"/>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D6697B"/>
    <w:rPr>
      <w:i/>
      <w:iCs/>
      <w:color w:val="4F81BD" w:themeColor="accent1"/>
      <w:sz w:val="20"/>
      <w:szCs w:val="20"/>
    </w:rPr>
  </w:style>
  <w:style w:type="character" w:styleId="SubtleEmphasis">
    <w:name w:val="Subtle Emphasis"/>
    <w:uiPriority w:val="19"/>
    <w:qFormat/>
    <w:rsid w:val="00D6697B"/>
    <w:rPr>
      <w:i/>
      <w:iCs/>
      <w:color w:val="243F60" w:themeColor="accent1" w:themeShade="7F"/>
    </w:rPr>
  </w:style>
  <w:style w:type="character" w:styleId="IntenseEmphasis">
    <w:name w:val="Intense Emphasis"/>
    <w:uiPriority w:val="21"/>
    <w:qFormat/>
    <w:rsid w:val="00D6697B"/>
    <w:rPr>
      <w:b/>
      <w:bCs/>
      <w:caps/>
      <w:color w:val="243F60" w:themeColor="accent1" w:themeShade="7F"/>
      <w:spacing w:val="10"/>
    </w:rPr>
  </w:style>
  <w:style w:type="character" w:styleId="SubtleReference">
    <w:name w:val="Subtle Reference"/>
    <w:uiPriority w:val="31"/>
    <w:qFormat/>
    <w:rsid w:val="00D6697B"/>
    <w:rPr>
      <w:b/>
      <w:bCs/>
      <w:color w:val="4F81BD" w:themeColor="accent1"/>
    </w:rPr>
  </w:style>
  <w:style w:type="character" w:styleId="IntenseReference">
    <w:name w:val="Intense Reference"/>
    <w:uiPriority w:val="32"/>
    <w:qFormat/>
    <w:rsid w:val="00D6697B"/>
    <w:rPr>
      <w:b/>
      <w:bCs/>
      <w:i/>
      <w:iCs/>
      <w:caps/>
      <w:color w:val="4F81BD" w:themeColor="accent1"/>
    </w:rPr>
  </w:style>
  <w:style w:type="character" w:styleId="BookTitle">
    <w:name w:val="Book Title"/>
    <w:uiPriority w:val="33"/>
    <w:qFormat/>
    <w:rsid w:val="00D6697B"/>
    <w:rPr>
      <w:b/>
      <w:bCs/>
      <w:i/>
      <w:iCs/>
      <w:spacing w:val="9"/>
    </w:rPr>
  </w:style>
  <w:style w:type="paragraph" w:styleId="TOCHeading">
    <w:name w:val="TOC Heading"/>
    <w:basedOn w:val="Heading1"/>
    <w:next w:val="Normal"/>
    <w:uiPriority w:val="39"/>
    <w:semiHidden/>
    <w:unhideWhenUsed/>
    <w:qFormat/>
    <w:rsid w:val="00D6697B"/>
    <w:pPr>
      <w:outlineLvl w:val="9"/>
    </w:pPr>
    <w:rPr>
      <w:lang w:bidi="en-US"/>
    </w:rPr>
  </w:style>
  <w:style w:type="paragraph" w:customStyle="1" w:styleId="PersonalName">
    <w:name w:val="Personal Name"/>
    <w:basedOn w:val="Title"/>
    <w:rsid w:val="00D6697B"/>
    <w:rPr>
      <w:b/>
      <w:caps w:val="0"/>
      <w:color w:val="000000"/>
      <w:sz w:val="28"/>
      <w:szCs w:val="28"/>
    </w:rPr>
  </w:style>
  <w:style w:type="paragraph" w:styleId="FootnoteText">
    <w:name w:val="footnote text"/>
    <w:basedOn w:val="Normal"/>
    <w:link w:val="FootnoteTextChar"/>
    <w:autoRedefine/>
    <w:uiPriority w:val="99"/>
    <w:unhideWhenUsed/>
    <w:rsid w:val="004453E0"/>
    <w:pPr>
      <w:spacing w:before="0" w:after="0" w:line="240" w:lineRule="auto"/>
    </w:pPr>
    <w:rPr>
      <w:iCs/>
    </w:rPr>
  </w:style>
  <w:style w:type="character" w:customStyle="1" w:styleId="FootnoteTextChar">
    <w:name w:val="Footnote Text Char"/>
    <w:basedOn w:val="DefaultParagraphFont"/>
    <w:link w:val="FootnoteText"/>
    <w:uiPriority w:val="99"/>
    <w:rsid w:val="004453E0"/>
    <w:rPr>
      <w:iCs/>
      <w:sz w:val="20"/>
      <w:szCs w:val="20"/>
    </w:rPr>
  </w:style>
  <w:style w:type="character" w:styleId="FootnoteReference">
    <w:name w:val="footnote reference"/>
    <w:basedOn w:val="DefaultParagraphFont"/>
    <w:uiPriority w:val="99"/>
    <w:unhideWhenUsed/>
    <w:rsid w:val="00F305D3"/>
    <w:rPr>
      <w:vertAlign w:val="superscript"/>
    </w:rPr>
  </w:style>
  <w:style w:type="character" w:styleId="FollowedHyperlink">
    <w:name w:val="FollowedHyperlink"/>
    <w:basedOn w:val="DefaultParagraphFont"/>
    <w:uiPriority w:val="99"/>
    <w:semiHidden/>
    <w:unhideWhenUsed/>
    <w:rsid w:val="00F23C70"/>
    <w:rPr>
      <w:color w:val="800080" w:themeColor="followedHyperlink"/>
      <w:u w:val="single"/>
    </w:rPr>
  </w:style>
  <w:style w:type="character" w:customStyle="1" w:styleId="apple-converted-space">
    <w:name w:val="apple-converted-space"/>
    <w:basedOn w:val="DefaultParagraphFont"/>
    <w:rsid w:val="008C197C"/>
  </w:style>
  <w:style w:type="paragraph" w:styleId="NormalWeb">
    <w:name w:val="Normal (Web)"/>
    <w:basedOn w:val="Normal"/>
    <w:uiPriority w:val="99"/>
    <w:rsid w:val="008C197C"/>
    <w:pPr>
      <w:spacing w:beforeLines="1" w:before="0" w:afterLines="1" w:line="240" w:lineRule="auto"/>
    </w:pPr>
    <w:rPr>
      <w:rFonts w:ascii="Times" w:eastAsiaTheme="minorHAnsi" w:hAnsi="Times" w:cs="Times New Roman"/>
    </w:rPr>
  </w:style>
  <w:style w:type="paragraph" w:styleId="Header">
    <w:name w:val="header"/>
    <w:basedOn w:val="Normal"/>
    <w:link w:val="HeaderChar"/>
    <w:uiPriority w:val="99"/>
    <w:unhideWhenUsed/>
    <w:rsid w:val="00723E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23EFE"/>
    <w:rPr>
      <w:sz w:val="20"/>
      <w:szCs w:val="20"/>
    </w:rPr>
  </w:style>
  <w:style w:type="paragraph" w:styleId="Footer">
    <w:name w:val="footer"/>
    <w:basedOn w:val="Normal"/>
    <w:link w:val="FooterChar"/>
    <w:uiPriority w:val="99"/>
    <w:unhideWhenUsed/>
    <w:rsid w:val="00723E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23EFE"/>
    <w:rPr>
      <w:sz w:val="20"/>
      <w:szCs w:val="20"/>
    </w:rPr>
  </w:style>
  <w:style w:type="table" w:styleId="TableGrid">
    <w:name w:val="Table Grid"/>
    <w:basedOn w:val="TableNormal"/>
    <w:rsid w:val="00206E5F"/>
    <w:pPr>
      <w:spacing w:before="0"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063729"/>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63729"/>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FB"/>
    <w:pPr>
      <w:jc w:val="both"/>
    </w:pPr>
    <w:rPr>
      <w:sz w:val="20"/>
      <w:szCs w:val="20"/>
    </w:rPr>
  </w:style>
  <w:style w:type="paragraph" w:styleId="Heading1">
    <w:name w:val="heading 1"/>
    <w:basedOn w:val="Normal"/>
    <w:next w:val="Normal"/>
    <w:link w:val="Heading1Char"/>
    <w:uiPriority w:val="9"/>
    <w:qFormat/>
    <w:rsid w:val="00186BFB"/>
    <w:pPr>
      <w:pBdr>
        <w:top w:val="single" w:sz="24" w:space="0" w:color="003366"/>
        <w:left w:val="single" w:sz="24" w:space="0" w:color="003366"/>
        <w:bottom w:val="single" w:sz="24" w:space="0" w:color="003366"/>
        <w:right w:val="single" w:sz="24" w:space="0" w:color="003366"/>
      </w:pBdr>
      <w:shd w:val="clear" w:color="auto" w:fill="003366"/>
      <w:spacing w:after="0"/>
      <w:jc w:val="left"/>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1D48EC"/>
    <w:pPr>
      <w:pBdr>
        <w:top w:val="single" w:sz="24" w:space="1" w:color="527AA6"/>
        <w:left w:val="single" w:sz="24" w:space="4" w:color="527AA6"/>
        <w:bottom w:val="single" w:sz="24" w:space="1" w:color="527AA6"/>
        <w:right w:val="single" w:sz="24" w:space="4" w:color="527AA6"/>
      </w:pBdr>
      <w:shd w:val="clear" w:color="auto" w:fill="527AA6"/>
      <w:spacing w:after="0"/>
      <w:ind w:left="90" w:right="90"/>
      <w:outlineLvl w:val="1"/>
    </w:pPr>
    <w:rPr>
      <w:b/>
      <w:caps/>
      <w:color w:val="FFFFFF" w:themeColor="background1"/>
      <w:spacing w:val="15"/>
      <w:sz w:val="22"/>
      <w:szCs w:val="22"/>
    </w:rPr>
  </w:style>
  <w:style w:type="paragraph" w:styleId="Heading3">
    <w:name w:val="heading 3"/>
    <w:basedOn w:val="Normal"/>
    <w:next w:val="Normal"/>
    <w:link w:val="Heading3Char"/>
    <w:uiPriority w:val="9"/>
    <w:unhideWhenUsed/>
    <w:qFormat/>
    <w:rsid w:val="001D48EC"/>
    <w:pPr>
      <w:pBdr>
        <w:top w:val="single" w:sz="6" w:space="2" w:color="4F81BD" w:themeColor="accent1"/>
        <w:left w:val="single" w:sz="6" w:space="2" w:color="4F81BD" w:themeColor="accent1"/>
      </w:pBdr>
      <w:spacing w:before="300" w:after="0"/>
      <w:outlineLvl w:val="2"/>
    </w:pPr>
    <w:rPr>
      <w:b/>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1D48EC"/>
    <w:pPr>
      <w:keepNext/>
      <w:pBdr>
        <w:top w:val="single" w:sz="24" w:space="1" w:color="B8CCE4"/>
        <w:left w:val="single" w:sz="24" w:space="4" w:color="B8CCE4"/>
        <w:bottom w:val="single" w:sz="24" w:space="1" w:color="B8CCE4"/>
        <w:right w:val="single" w:sz="24" w:space="4" w:color="B8CCE4"/>
      </w:pBdr>
      <w:shd w:val="clear" w:color="auto" w:fill="B8CCE4"/>
      <w:spacing w:before="300" w:after="0"/>
      <w:ind w:left="86" w:right="187"/>
      <w:outlineLvl w:val="3"/>
    </w:pPr>
    <w:rPr>
      <w:b/>
      <w:caps/>
      <w:color w:val="244061" w:themeColor="accent1" w:themeShade="80"/>
      <w:spacing w:val="10"/>
      <w:sz w:val="22"/>
      <w:szCs w:val="22"/>
    </w:rPr>
  </w:style>
  <w:style w:type="paragraph" w:styleId="Heading5">
    <w:name w:val="heading 5"/>
    <w:basedOn w:val="Normal"/>
    <w:next w:val="Normal"/>
    <w:link w:val="Heading5Char"/>
    <w:uiPriority w:val="9"/>
    <w:unhideWhenUsed/>
    <w:qFormat/>
    <w:rsid w:val="001D48EC"/>
    <w:pPr>
      <w:keepNext/>
      <w:spacing w:before="300" w:after="0"/>
      <w:outlineLvl w:val="4"/>
    </w:pPr>
    <w:rPr>
      <w:b/>
      <w:bCs/>
      <w:color w:val="365F91" w:themeColor="accent1" w:themeShade="BF"/>
      <w:spacing w:val="10"/>
      <w:sz w:val="22"/>
      <w:szCs w:val="22"/>
    </w:rPr>
  </w:style>
  <w:style w:type="paragraph" w:styleId="Heading6">
    <w:name w:val="heading 6"/>
    <w:basedOn w:val="Normal"/>
    <w:next w:val="Normal"/>
    <w:link w:val="Heading6Char"/>
    <w:autoRedefine/>
    <w:uiPriority w:val="9"/>
    <w:unhideWhenUsed/>
    <w:qFormat/>
    <w:rsid w:val="00F5333D"/>
    <w:pPr>
      <w:spacing w:after="0"/>
      <w:outlineLvl w:val="5"/>
    </w:pPr>
    <w:rPr>
      <w:i/>
      <w:iC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6697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D6697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6697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BFB"/>
    <w:rPr>
      <w:b/>
      <w:bCs/>
      <w:caps/>
      <w:color w:val="FFFFFF" w:themeColor="background1"/>
      <w:spacing w:val="15"/>
      <w:sz w:val="28"/>
      <w:shd w:val="clear" w:color="auto" w:fill="003366"/>
    </w:rPr>
  </w:style>
  <w:style w:type="paragraph" w:styleId="ListParagraph">
    <w:name w:val="List Paragraph"/>
    <w:basedOn w:val="Normal"/>
    <w:uiPriority w:val="34"/>
    <w:qFormat/>
    <w:rsid w:val="00D6697B"/>
    <w:pPr>
      <w:ind w:left="720"/>
      <w:contextualSpacing/>
    </w:pPr>
  </w:style>
  <w:style w:type="character" w:customStyle="1" w:styleId="Heading2Char">
    <w:name w:val="Heading 2 Char"/>
    <w:basedOn w:val="DefaultParagraphFont"/>
    <w:link w:val="Heading2"/>
    <w:uiPriority w:val="9"/>
    <w:rsid w:val="001D48EC"/>
    <w:rPr>
      <w:b/>
      <w:caps/>
      <w:color w:val="FFFFFF" w:themeColor="background1"/>
      <w:spacing w:val="15"/>
      <w:shd w:val="clear" w:color="auto" w:fill="527AA6"/>
    </w:rPr>
  </w:style>
  <w:style w:type="character" w:customStyle="1" w:styleId="Heading3Char">
    <w:name w:val="Heading 3 Char"/>
    <w:basedOn w:val="DefaultParagraphFont"/>
    <w:link w:val="Heading3"/>
    <w:uiPriority w:val="9"/>
    <w:rsid w:val="001D48EC"/>
    <w:rPr>
      <w:b/>
      <w:caps/>
      <w:color w:val="243F60" w:themeColor="accent1" w:themeShade="7F"/>
      <w:spacing w:val="15"/>
    </w:rPr>
  </w:style>
  <w:style w:type="character" w:customStyle="1" w:styleId="Heading4Char">
    <w:name w:val="Heading 4 Char"/>
    <w:basedOn w:val="DefaultParagraphFont"/>
    <w:link w:val="Heading4"/>
    <w:uiPriority w:val="9"/>
    <w:rsid w:val="001D48EC"/>
    <w:rPr>
      <w:b/>
      <w:caps/>
      <w:color w:val="244061" w:themeColor="accent1" w:themeShade="80"/>
      <w:spacing w:val="10"/>
      <w:shd w:val="clear" w:color="auto" w:fill="B8CCE4"/>
    </w:rPr>
  </w:style>
  <w:style w:type="paragraph" w:styleId="NoSpacing">
    <w:name w:val="No Spacing"/>
    <w:basedOn w:val="Normal"/>
    <w:link w:val="NoSpacingChar"/>
    <w:uiPriority w:val="1"/>
    <w:qFormat/>
    <w:rsid w:val="00D6697B"/>
    <w:pPr>
      <w:spacing w:before="0" w:after="0" w:line="240" w:lineRule="auto"/>
    </w:pPr>
  </w:style>
  <w:style w:type="character" w:styleId="Hyperlink">
    <w:name w:val="Hyperlink"/>
    <w:basedOn w:val="DefaultParagraphFont"/>
    <w:uiPriority w:val="99"/>
    <w:unhideWhenUsed/>
    <w:rsid w:val="00680F02"/>
    <w:rPr>
      <w:color w:val="0000FF" w:themeColor="hyperlink"/>
      <w:u w:val="single"/>
    </w:rPr>
  </w:style>
  <w:style w:type="character" w:customStyle="1" w:styleId="Heading5Char">
    <w:name w:val="Heading 5 Char"/>
    <w:basedOn w:val="DefaultParagraphFont"/>
    <w:link w:val="Heading5"/>
    <w:uiPriority w:val="9"/>
    <w:rsid w:val="001D48EC"/>
    <w:rPr>
      <w:b/>
      <w:bCs/>
      <w:color w:val="365F91" w:themeColor="accent1" w:themeShade="BF"/>
      <w:spacing w:val="10"/>
    </w:rPr>
  </w:style>
  <w:style w:type="paragraph" w:styleId="BalloonText">
    <w:name w:val="Balloon Text"/>
    <w:basedOn w:val="Normal"/>
    <w:link w:val="BalloonTextChar"/>
    <w:uiPriority w:val="99"/>
    <w:semiHidden/>
    <w:unhideWhenUsed/>
    <w:rsid w:val="00B669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9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4C4CBA"/>
    <w:rPr>
      <w:sz w:val="18"/>
      <w:szCs w:val="18"/>
    </w:rPr>
  </w:style>
  <w:style w:type="paragraph" w:styleId="CommentText">
    <w:name w:val="annotation text"/>
    <w:basedOn w:val="Normal"/>
    <w:link w:val="CommentTextChar"/>
    <w:uiPriority w:val="99"/>
    <w:semiHidden/>
    <w:unhideWhenUsed/>
    <w:rsid w:val="004C4CBA"/>
    <w:pPr>
      <w:spacing w:line="240" w:lineRule="auto"/>
    </w:pPr>
    <w:rPr>
      <w:sz w:val="24"/>
      <w:szCs w:val="24"/>
    </w:rPr>
  </w:style>
  <w:style w:type="character" w:customStyle="1" w:styleId="CommentTextChar">
    <w:name w:val="Comment Text Char"/>
    <w:basedOn w:val="DefaultParagraphFont"/>
    <w:link w:val="CommentText"/>
    <w:uiPriority w:val="99"/>
    <w:semiHidden/>
    <w:rsid w:val="004C4CBA"/>
    <w:rPr>
      <w:sz w:val="24"/>
      <w:szCs w:val="24"/>
    </w:rPr>
  </w:style>
  <w:style w:type="paragraph" w:styleId="CommentSubject">
    <w:name w:val="annotation subject"/>
    <w:basedOn w:val="CommentText"/>
    <w:next w:val="CommentText"/>
    <w:link w:val="CommentSubjectChar"/>
    <w:uiPriority w:val="99"/>
    <w:semiHidden/>
    <w:unhideWhenUsed/>
    <w:rsid w:val="004C4CBA"/>
    <w:rPr>
      <w:b/>
      <w:bCs/>
      <w:sz w:val="20"/>
      <w:szCs w:val="20"/>
    </w:rPr>
  </w:style>
  <w:style w:type="character" w:customStyle="1" w:styleId="CommentSubjectChar">
    <w:name w:val="Comment Subject Char"/>
    <w:basedOn w:val="CommentTextChar"/>
    <w:link w:val="CommentSubject"/>
    <w:uiPriority w:val="99"/>
    <w:semiHidden/>
    <w:rsid w:val="004C4CBA"/>
    <w:rPr>
      <w:b/>
      <w:bCs/>
      <w:sz w:val="20"/>
      <w:szCs w:val="20"/>
    </w:rPr>
  </w:style>
  <w:style w:type="character" w:customStyle="1" w:styleId="Heading6Char">
    <w:name w:val="Heading 6 Char"/>
    <w:basedOn w:val="DefaultParagraphFont"/>
    <w:link w:val="Heading6"/>
    <w:uiPriority w:val="9"/>
    <w:rsid w:val="00F5333D"/>
    <w:rPr>
      <w:i/>
      <w:iCs/>
      <w:color w:val="365F91" w:themeColor="accent1" w:themeShade="BF"/>
      <w:spacing w:val="10"/>
    </w:rPr>
  </w:style>
  <w:style w:type="character" w:customStyle="1" w:styleId="Heading7Char">
    <w:name w:val="Heading 7 Char"/>
    <w:basedOn w:val="DefaultParagraphFont"/>
    <w:link w:val="Heading7"/>
    <w:uiPriority w:val="9"/>
    <w:rsid w:val="00D6697B"/>
    <w:rPr>
      <w:caps/>
      <w:color w:val="365F91" w:themeColor="accent1" w:themeShade="BF"/>
      <w:spacing w:val="10"/>
    </w:rPr>
  </w:style>
  <w:style w:type="character" w:customStyle="1" w:styleId="Heading8Char">
    <w:name w:val="Heading 8 Char"/>
    <w:basedOn w:val="DefaultParagraphFont"/>
    <w:link w:val="Heading8"/>
    <w:uiPriority w:val="9"/>
    <w:rsid w:val="00D6697B"/>
    <w:rPr>
      <w:caps/>
      <w:spacing w:val="10"/>
      <w:sz w:val="18"/>
      <w:szCs w:val="18"/>
    </w:rPr>
  </w:style>
  <w:style w:type="character" w:customStyle="1" w:styleId="Heading9Char">
    <w:name w:val="Heading 9 Char"/>
    <w:basedOn w:val="DefaultParagraphFont"/>
    <w:link w:val="Heading9"/>
    <w:uiPriority w:val="9"/>
    <w:semiHidden/>
    <w:rsid w:val="00D6697B"/>
    <w:rPr>
      <w:i/>
      <w:caps/>
      <w:spacing w:val="10"/>
      <w:sz w:val="18"/>
      <w:szCs w:val="18"/>
    </w:rPr>
  </w:style>
  <w:style w:type="paragraph" w:styleId="Caption">
    <w:name w:val="caption"/>
    <w:basedOn w:val="Normal"/>
    <w:next w:val="Normal"/>
    <w:uiPriority w:val="35"/>
    <w:semiHidden/>
    <w:unhideWhenUsed/>
    <w:qFormat/>
    <w:rsid w:val="00D6697B"/>
    <w:rPr>
      <w:b/>
      <w:bCs/>
      <w:color w:val="365F91" w:themeColor="accent1" w:themeShade="BF"/>
      <w:sz w:val="16"/>
      <w:szCs w:val="16"/>
    </w:rPr>
  </w:style>
  <w:style w:type="paragraph" w:styleId="Title">
    <w:name w:val="Title"/>
    <w:basedOn w:val="Normal"/>
    <w:next w:val="Normal"/>
    <w:link w:val="TitleChar"/>
    <w:uiPriority w:val="10"/>
    <w:qFormat/>
    <w:rsid w:val="00D6697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6697B"/>
    <w:rPr>
      <w:caps/>
      <w:color w:val="4F81BD" w:themeColor="accent1"/>
      <w:spacing w:val="10"/>
      <w:kern w:val="28"/>
      <w:sz w:val="52"/>
      <w:szCs w:val="52"/>
    </w:rPr>
  </w:style>
  <w:style w:type="paragraph" w:styleId="Subtitle">
    <w:name w:val="Subtitle"/>
    <w:basedOn w:val="Normal"/>
    <w:next w:val="Normal"/>
    <w:link w:val="SubtitleChar"/>
    <w:uiPriority w:val="11"/>
    <w:qFormat/>
    <w:rsid w:val="00D6697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6697B"/>
    <w:rPr>
      <w:caps/>
      <w:color w:val="595959" w:themeColor="text1" w:themeTint="A6"/>
      <w:spacing w:val="10"/>
      <w:sz w:val="24"/>
      <w:szCs w:val="24"/>
    </w:rPr>
  </w:style>
  <w:style w:type="character" w:styleId="Strong">
    <w:name w:val="Strong"/>
    <w:uiPriority w:val="22"/>
    <w:qFormat/>
    <w:rsid w:val="00D6697B"/>
    <w:rPr>
      <w:b/>
      <w:bCs/>
    </w:rPr>
  </w:style>
  <w:style w:type="character" w:styleId="Emphasis">
    <w:name w:val="Emphasis"/>
    <w:uiPriority w:val="20"/>
    <w:qFormat/>
    <w:rsid w:val="00D6697B"/>
    <w:rPr>
      <w:caps/>
      <w:color w:val="243F60" w:themeColor="accent1" w:themeShade="7F"/>
      <w:spacing w:val="5"/>
    </w:rPr>
  </w:style>
  <w:style w:type="character" w:customStyle="1" w:styleId="NoSpacingChar">
    <w:name w:val="No Spacing Char"/>
    <w:basedOn w:val="DefaultParagraphFont"/>
    <w:link w:val="NoSpacing"/>
    <w:uiPriority w:val="1"/>
    <w:rsid w:val="00D6697B"/>
    <w:rPr>
      <w:sz w:val="20"/>
      <w:szCs w:val="20"/>
    </w:rPr>
  </w:style>
  <w:style w:type="paragraph" w:styleId="Quote">
    <w:name w:val="Quote"/>
    <w:basedOn w:val="Normal"/>
    <w:next w:val="Normal"/>
    <w:link w:val="QuoteChar"/>
    <w:uiPriority w:val="29"/>
    <w:qFormat/>
    <w:rsid w:val="00D6697B"/>
    <w:rPr>
      <w:i/>
      <w:iCs/>
    </w:rPr>
  </w:style>
  <w:style w:type="character" w:customStyle="1" w:styleId="QuoteChar">
    <w:name w:val="Quote Char"/>
    <w:basedOn w:val="DefaultParagraphFont"/>
    <w:link w:val="Quote"/>
    <w:uiPriority w:val="29"/>
    <w:rsid w:val="00D6697B"/>
    <w:rPr>
      <w:i/>
      <w:iCs/>
      <w:sz w:val="20"/>
      <w:szCs w:val="20"/>
    </w:rPr>
  </w:style>
  <w:style w:type="paragraph" w:styleId="IntenseQuote">
    <w:name w:val="Intense Quote"/>
    <w:basedOn w:val="Normal"/>
    <w:next w:val="Normal"/>
    <w:link w:val="IntenseQuoteChar"/>
    <w:uiPriority w:val="30"/>
    <w:qFormat/>
    <w:rsid w:val="00D6697B"/>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D6697B"/>
    <w:rPr>
      <w:i/>
      <w:iCs/>
      <w:color w:val="4F81BD" w:themeColor="accent1"/>
      <w:sz w:val="20"/>
      <w:szCs w:val="20"/>
    </w:rPr>
  </w:style>
  <w:style w:type="character" w:styleId="SubtleEmphasis">
    <w:name w:val="Subtle Emphasis"/>
    <w:uiPriority w:val="19"/>
    <w:qFormat/>
    <w:rsid w:val="00D6697B"/>
    <w:rPr>
      <w:i/>
      <w:iCs/>
      <w:color w:val="243F60" w:themeColor="accent1" w:themeShade="7F"/>
    </w:rPr>
  </w:style>
  <w:style w:type="character" w:styleId="IntenseEmphasis">
    <w:name w:val="Intense Emphasis"/>
    <w:uiPriority w:val="21"/>
    <w:qFormat/>
    <w:rsid w:val="00D6697B"/>
    <w:rPr>
      <w:b/>
      <w:bCs/>
      <w:caps/>
      <w:color w:val="243F60" w:themeColor="accent1" w:themeShade="7F"/>
      <w:spacing w:val="10"/>
    </w:rPr>
  </w:style>
  <w:style w:type="character" w:styleId="SubtleReference">
    <w:name w:val="Subtle Reference"/>
    <w:uiPriority w:val="31"/>
    <w:qFormat/>
    <w:rsid w:val="00D6697B"/>
    <w:rPr>
      <w:b/>
      <w:bCs/>
      <w:color w:val="4F81BD" w:themeColor="accent1"/>
    </w:rPr>
  </w:style>
  <w:style w:type="character" w:styleId="IntenseReference">
    <w:name w:val="Intense Reference"/>
    <w:uiPriority w:val="32"/>
    <w:qFormat/>
    <w:rsid w:val="00D6697B"/>
    <w:rPr>
      <w:b/>
      <w:bCs/>
      <w:i/>
      <w:iCs/>
      <w:caps/>
      <w:color w:val="4F81BD" w:themeColor="accent1"/>
    </w:rPr>
  </w:style>
  <w:style w:type="character" w:styleId="BookTitle">
    <w:name w:val="Book Title"/>
    <w:uiPriority w:val="33"/>
    <w:qFormat/>
    <w:rsid w:val="00D6697B"/>
    <w:rPr>
      <w:b/>
      <w:bCs/>
      <w:i/>
      <w:iCs/>
      <w:spacing w:val="9"/>
    </w:rPr>
  </w:style>
  <w:style w:type="paragraph" w:styleId="TOCHeading">
    <w:name w:val="TOC Heading"/>
    <w:basedOn w:val="Heading1"/>
    <w:next w:val="Normal"/>
    <w:uiPriority w:val="39"/>
    <w:semiHidden/>
    <w:unhideWhenUsed/>
    <w:qFormat/>
    <w:rsid w:val="00D6697B"/>
    <w:pPr>
      <w:outlineLvl w:val="9"/>
    </w:pPr>
    <w:rPr>
      <w:lang w:bidi="en-US"/>
    </w:rPr>
  </w:style>
  <w:style w:type="paragraph" w:customStyle="1" w:styleId="PersonalName">
    <w:name w:val="Personal Name"/>
    <w:basedOn w:val="Title"/>
    <w:rsid w:val="00D6697B"/>
    <w:rPr>
      <w:b/>
      <w:caps w:val="0"/>
      <w:color w:val="000000"/>
      <w:sz w:val="28"/>
      <w:szCs w:val="28"/>
    </w:rPr>
  </w:style>
  <w:style w:type="paragraph" w:styleId="FootnoteText">
    <w:name w:val="footnote text"/>
    <w:basedOn w:val="Normal"/>
    <w:link w:val="FootnoteTextChar"/>
    <w:autoRedefine/>
    <w:uiPriority w:val="99"/>
    <w:unhideWhenUsed/>
    <w:rsid w:val="004453E0"/>
    <w:pPr>
      <w:spacing w:before="0" w:after="0" w:line="240" w:lineRule="auto"/>
    </w:pPr>
    <w:rPr>
      <w:iCs/>
    </w:rPr>
  </w:style>
  <w:style w:type="character" w:customStyle="1" w:styleId="FootnoteTextChar">
    <w:name w:val="Footnote Text Char"/>
    <w:basedOn w:val="DefaultParagraphFont"/>
    <w:link w:val="FootnoteText"/>
    <w:uiPriority w:val="99"/>
    <w:rsid w:val="004453E0"/>
    <w:rPr>
      <w:iCs/>
      <w:sz w:val="20"/>
      <w:szCs w:val="20"/>
    </w:rPr>
  </w:style>
  <w:style w:type="character" w:styleId="FootnoteReference">
    <w:name w:val="footnote reference"/>
    <w:basedOn w:val="DefaultParagraphFont"/>
    <w:uiPriority w:val="99"/>
    <w:unhideWhenUsed/>
    <w:rsid w:val="00F305D3"/>
    <w:rPr>
      <w:vertAlign w:val="superscript"/>
    </w:rPr>
  </w:style>
  <w:style w:type="character" w:styleId="FollowedHyperlink">
    <w:name w:val="FollowedHyperlink"/>
    <w:basedOn w:val="DefaultParagraphFont"/>
    <w:uiPriority w:val="99"/>
    <w:semiHidden/>
    <w:unhideWhenUsed/>
    <w:rsid w:val="00F23C70"/>
    <w:rPr>
      <w:color w:val="800080" w:themeColor="followedHyperlink"/>
      <w:u w:val="single"/>
    </w:rPr>
  </w:style>
  <w:style w:type="character" w:customStyle="1" w:styleId="apple-converted-space">
    <w:name w:val="apple-converted-space"/>
    <w:basedOn w:val="DefaultParagraphFont"/>
    <w:rsid w:val="008C197C"/>
  </w:style>
  <w:style w:type="paragraph" w:styleId="NormalWeb">
    <w:name w:val="Normal (Web)"/>
    <w:basedOn w:val="Normal"/>
    <w:uiPriority w:val="99"/>
    <w:rsid w:val="008C197C"/>
    <w:pPr>
      <w:spacing w:beforeLines="1" w:before="0" w:afterLines="1" w:line="240" w:lineRule="auto"/>
    </w:pPr>
    <w:rPr>
      <w:rFonts w:ascii="Times" w:eastAsiaTheme="minorHAnsi" w:hAnsi="Times" w:cs="Times New Roman"/>
    </w:rPr>
  </w:style>
  <w:style w:type="paragraph" w:styleId="Header">
    <w:name w:val="header"/>
    <w:basedOn w:val="Normal"/>
    <w:link w:val="HeaderChar"/>
    <w:uiPriority w:val="99"/>
    <w:unhideWhenUsed/>
    <w:rsid w:val="00723E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23EFE"/>
    <w:rPr>
      <w:sz w:val="20"/>
      <w:szCs w:val="20"/>
    </w:rPr>
  </w:style>
  <w:style w:type="paragraph" w:styleId="Footer">
    <w:name w:val="footer"/>
    <w:basedOn w:val="Normal"/>
    <w:link w:val="FooterChar"/>
    <w:uiPriority w:val="99"/>
    <w:unhideWhenUsed/>
    <w:rsid w:val="00723E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23EFE"/>
    <w:rPr>
      <w:sz w:val="20"/>
      <w:szCs w:val="20"/>
    </w:rPr>
  </w:style>
  <w:style w:type="table" w:styleId="TableGrid">
    <w:name w:val="Table Grid"/>
    <w:basedOn w:val="TableNormal"/>
    <w:rsid w:val="00206E5F"/>
    <w:pPr>
      <w:spacing w:before="0"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063729"/>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6372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559">
      <w:bodyDiv w:val="1"/>
      <w:marLeft w:val="0"/>
      <w:marRight w:val="0"/>
      <w:marTop w:val="0"/>
      <w:marBottom w:val="0"/>
      <w:divBdr>
        <w:top w:val="none" w:sz="0" w:space="0" w:color="auto"/>
        <w:left w:val="none" w:sz="0" w:space="0" w:color="auto"/>
        <w:bottom w:val="none" w:sz="0" w:space="0" w:color="auto"/>
        <w:right w:val="none" w:sz="0" w:space="0" w:color="auto"/>
      </w:divBdr>
    </w:div>
    <w:div w:id="103962247">
      <w:bodyDiv w:val="1"/>
      <w:marLeft w:val="0"/>
      <w:marRight w:val="0"/>
      <w:marTop w:val="0"/>
      <w:marBottom w:val="0"/>
      <w:divBdr>
        <w:top w:val="none" w:sz="0" w:space="0" w:color="auto"/>
        <w:left w:val="none" w:sz="0" w:space="0" w:color="auto"/>
        <w:bottom w:val="none" w:sz="0" w:space="0" w:color="auto"/>
        <w:right w:val="none" w:sz="0" w:space="0" w:color="auto"/>
      </w:divBdr>
    </w:div>
    <w:div w:id="148517618">
      <w:bodyDiv w:val="1"/>
      <w:marLeft w:val="0"/>
      <w:marRight w:val="0"/>
      <w:marTop w:val="0"/>
      <w:marBottom w:val="0"/>
      <w:divBdr>
        <w:top w:val="none" w:sz="0" w:space="0" w:color="auto"/>
        <w:left w:val="none" w:sz="0" w:space="0" w:color="auto"/>
        <w:bottom w:val="none" w:sz="0" w:space="0" w:color="auto"/>
        <w:right w:val="none" w:sz="0" w:space="0" w:color="auto"/>
      </w:divBdr>
    </w:div>
    <w:div w:id="266815788">
      <w:bodyDiv w:val="1"/>
      <w:marLeft w:val="0"/>
      <w:marRight w:val="0"/>
      <w:marTop w:val="0"/>
      <w:marBottom w:val="0"/>
      <w:divBdr>
        <w:top w:val="none" w:sz="0" w:space="0" w:color="auto"/>
        <w:left w:val="none" w:sz="0" w:space="0" w:color="auto"/>
        <w:bottom w:val="none" w:sz="0" w:space="0" w:color="auto"/>
        <w:right w:val="none" w:sz="0" w:space="0" w:color="auto"/>
      </w:divBdr>
    </w:div>
    <w:div w:id="318462356">
      <w:bodyDiv w:val="1"/>
      <w:marLeft w:val="0"/>
      <w:marRight w:val="0"/>
      <w:marTop w:val="0"/>
      <w:marBottom w:val="0"/>
      <w:divBdr>
        <w:top w:val="none" w:sz="0" w:space="0" w:color="auto"/>
        <w:left w:val="none" w:sz="0" w:space="0" w:color="auto"/>
        <w:bottom w:val="none" w:sz="0" w:space="0" w:color="auto"/>
        <w:right w:val="none" w:sz="0" w:space="0" w:color="auto"/>
      </w:divBdr>
    </w:div>
    <w:div w:id="325939552">
      <w:bodyDiv w:val="1"/>
      <w:marLeft w:val="0"/>
      <w:marRight w:val="0"/>
      <w:marTop w:val="0"/>
      <w:marBottom w:val="0"/>
      <w:divBdr>
        <w:top w:val="none" w:sz="0" w:space="0" w:color="auto"/>
        <w:left w:val="none" w:sz="0" w:space="0" w:color="auto"/>
        <w:bottom w:val="none" w:sz="0" w:space="0" w:color="auto"/>
        <w:right w:val="none" w:sz="0" w:space="0" w:color="auto"/>
      </w:divBdr>
    </w:div>
    <w:div w:id="336158466">
      <w:bodyDiv w:val="1"/>
      <w:marLeft w:val="0"/>
      <w:marRight w:val="0"/>
      <w:marTop w:val="0"/>
      <w:marBottom w:val="0"/>
      <w:divBdr>
        <w:top w:val="none" w:sz="0" w:space="0" w:color="auto"/>
        <w:left w:val="none" w:sz="0" w:space="0" w:color="auto"/>
        <w:bottom w:val="none" w:sz="0" w:space="0" w:color="auto"/>
        <w:right w:val="none" w:sz="0" w:space="0" w:color="auto"/>
      </w:divBdr>
    </w:div>
    <w:div w:id="347803277">
      <w:bodyDiv w:val="1"/>
      <w:marLeft w:val="0"/>
      <w:marRight w:val="0"/>
      <w:marTop w:val="0"/>
      <w:marBottom w:val="0"/>
      <w:divBdr>
        <w:top w:val="none" w:sz="0" w:space="0" w:color="auto"/>
        <w:left w:val="none" w:sz="0" w:space="0" w:color="auto"/>
        <w:bottom w:val="none" w:sz="0" w:space="0" w:color="auto"/>
        <w:right w:val="none" w:sz="0" w:space="0" w:color="auto"/>
      </w:divBdr>
    </w:div>
    <w:div w:id="360326662">
      <w:bodyDiv w:val="1"/>
      <w:marLeft w:val="0"/>
      <w:marRight w:val="0"/>
      <w:marTop w:val="0"/>
      <w:marBottom w:val="0"/>
      <w:divBdr>
        <w:top w:val="none" w:sz="0" w:space="0" w:color="auto"/>
        <w:left w:val="none" w:sz="0" w:space="0" w:color="auto"/>
        <w:bottom w:val="none" w:sz="0" w:space="0" w:color="auto"/>
        <w:right w:val="none" w:sz="0" w:space="0" w:color="auto"/>
      </w:divBdr>
    </w:div>
    <w:div w:id="448161707">
      <w:bodyDiv w:val="1"/>
      <w:marLeft w:val="0"/>
      <w:marRight w:val="0"/>
      <w:marTop w:val="0"/>
      <w:marBottom w:val="0"/>
      <w:divBdr>
        <w:top w:val="none" w:sz="0" w:space="0" w:color="auto"/>
        <w:left w:val="none" w:sz="0" w:space="0" w:color="auto"/>
        <w:bottom w:val="none" w:sz="0" w:space="0" w:color="auto"/>
        <w:right w:val="none" w:sz="0" w:space="0" w:color="auto"/>
      </w:divBdr>
    </w:div>
    <w:div w:id="566769167">
      <w:bodyDiv w:val="1"/>
      <w:marLeft w:val="0"/>
      <w:marRight w:val="0"/>
      <w:marTop w:val="0"/>
      <w:marBottom w:val="0"/>
      <w:divBdr>
        <w:top w:val="none" w:sz="0" w:space="0" w:color="auto"/>
        <w:left w:val="none" w:sz="0" w:space="0" w:color="auto"/>
        <w:bottom w:val="none" w:sz="0" w:space="0" w:color="auto"/>
        <w:right w:val="none" w:sz="0" w:space="0" w:color="auto"/>
      </w:divBdr>
    </w:div>
    <w:div w:id="618606469">
      <w:bodyDiv w:val="1"/>
      <w:marLeft w:val="0"/>
      <w:marRight w:val="0"/>
      <w:marTop w:val="0"/>
      <w:marBottom w:val="0"/>
      <w:divBdr>
        <w:top w:val="none" w:sz="0" w:space="0" w:color="auto"/>
        <w:left w:val="none" w:sz="0" w:space="0" w:color="auto"/>
        <w:bottom w:val="none" w:sz="0" w:space="0" w:color="auto"/>
        <w:right w:val="none" w:sz="0" w:space="0" w:color="auto"/>
      </w:divBdr>
    </w:div>
    <w:div w:id="638415067">
      <w:bodyDiv w:val="1"/>
      <w:marLeft w:val="0"/>
      <w:marRight w:val="0"/>
      <w:marTop w:val="0"/>
      <w:marBottom w:val="0"/>
      <w:divBdr>
        <w:top w:val="none" w:sz="0" w:space="0" w:color="auto"/>
        <w:left w:val="none" w:sz="0" w:space="0" w:color="auto"/>
        <w:bottom w:val="none" w:sz="0" w:space="0" w:color="auto"/>
        <w:right w:val="none" w:sz="0" w:space="0" w:color="auto"/>
      </w:divBdr>
    </w:div>
    <w:div w:id="898398494">
      <w:bodyDiv w:val="1"/>
      <w:marLeft w:val="0"/>
      <w:marRight w:val="0"/>
      <w:marTop w:val="0"/>
      <w:marBottom w:val="0"/>
      <w:divBdr>
        <w:top w:val="none" w:sz="0" w:space="0" w:color="auto"/>
        <w:left w:val="none" w:sz="0" w:space="0" w:color="auto"/>
        <w:bottom w:val="none" w:sz="0" w:space="0" w:color="auto"/>
        <w:right w:val="none" w:sz="0" w:space="0" w:color="auto"/>
      </w:divBdr>
    </w:div>
    <w:div w:id="1014721741">
      <w:bodyDiv w:val="1"/>
      <w:marLeft w:val="0"/>
      <w:marRight w:val="0"/>
      <w:marTop w:val="0"/>
      <w:marBottom w:val="0"/>
      <w:divBdr>
        <w:top w:val="none" w:sz="0" w:space="0" w:color="auto"/>
        <w:left w:val="none" w:sz="0" w:space="0" w:color="auto"/>
        <w:bottom w:val="none" w:sz="0" w:space="0" w:color="auto"/>
        <w:right w:val="none" w:sz="0" w:space="0" w:color="auto"/>
      </w:divBdr>
    </w:div>
    <w:div w:id="1239679984">
      <w:bodyDiv w:val="1"/>
      <w:marLeft w:val="0"/>
      <w:marRight w:val="0"/>
      <w:marTop w:val="0"/>
      <w:marBottom w:val="0"/>
      <w:divBdr>
        <w:top w:val="none" w:sz="0" w:space="0" w:color="auto"/>
        <w:left w:val="none" w:sz="0" w:space="0" w:color="auto"/>
        <w:bottom w:val="none" w:sz="0" w:space="0" w:color="auto"/>
        <w:right w:val="none" w:sz="0" w:space="0" w:color="auto"/>
      </w:divBdr>
    </w:div>
    <w:div w:id="1526288578">
      <w:bodyDiv w:val="1"/>
      <w:marLeft w:val="0"/>
      <w:marRight w:val="0"/>
      <w:marTop w:val="0"/>
      <w:marBottom w:val="0"/>
      <w:divBdr>
        <w:top w:val="none" w:sz="0" w:space="0" w:color="auto"/>
        <w:left w:val="none" w:sz="0" w:space="0" w:color="auto"/>
        <w:bottom w:val="none" w:sz="0" w:space="0" w:color="auto"/>
        <w:right w:val="none" w:sz="0" w:space="0" w:color="auto"/>
      </w:divBdr>
    </w:div>
    <w:div w:id="1674795273">
      <w:bodyDiv w:val="1"/>
      <w:marLeft w:val="0"/>
      <w:marRight w:val="0"/>
      <w:marTop w:val="0"/>
      <w:marBottom w:val="0"/>
      <w:divBdr>
        <w:top w:val="none" w:sz="0" w:space="0" w:color="auto"/>
        <w:left w:val="none" w:sz="0" w:space="0" w:color="auto"/>
        <w:bottom w:val="none" w:sz="0" w:space="0" w:color="auto"/>
        <w:right w:val="none" w:sz="0" w:space="0" w:color="auto"/>
      </w:divBdr>
    </w:div>
    <w:div w:id="1746105058">
      <w:bodyDiv w:val="1"/>
      <w:marLeft w:val="0"/>
      <w:marRight w:val="0"/>
      <w:marTop w:val="0"/>
      <w:marBottom w:val="0"/>
      <w:divBdr>
        <w:top w:val="none" w:sz="0" w:space="0" w:color="auto"/>
        <w:left w:val="none" w:sz="0" w:space="0" w:color="auto"/>
        <w:bottom w:val="none" w:sz="0" w:space="0" w:color="auto"/>
        <w:right w:val="none" w:sz="0" w:space="0" w:color="auto"/>
      </w:divBdr>
    </w:div>
    <w:div w:id="1793283823">
      <w:bodyDiv w:val="1"/>
      <w:marLeft w:val="0"/>
      <w:marRight w:val="0"/>
      <w:marTop w:val="0"/>
      <w:marBottom w:val="0"/>
      <w:divBdr>
        <w:top w:val="none" w:sz="0" w:space="0" w:color="auto"/>
        <w:left w:val="none" w:sz="0" w:space="0" w:color="auto"/>
        <w:bottom w:val="none" w:sz="0" w:space="0" w:color="auto"/>
        <w:right w:val="none" w:sz="0" w:space="0" w:color="auto"/>
      </w:divBdr>
    </w:div>
    <w:div w:id="1847092128">
      <w:bodyDiv w:val="1"/>
      <w:marLeft w:val="0"/>
      <w:marRight w:val="0"/>
      <w:marTop w:val="0"/>
      <w:marBottom w:val="0"/>
      <w:divBdr>
        <w:top w:val="none" w:sz="0" w:space="0" w:color="auto"/>
        <w:left w:val="none" w:sz="0" w:space="0" w:color="auto"/>
        <w:bottom w:val="none" w:sz="0" w:space="0" w:color="auto"/>
        <w:right w:val="none" w:sz="0" w:space="0" w:color="auto"/>
      </w:divBdr>
    </w:div>
    <w:div w:id="2074963061">
      <w:bodyDiv w:val="1"/>
      <w:marLeft w:val="0"/>
      <w:marRight w:val="0"/>
      <w:marTop w:val="0"/>
      <w:marBottom w:val="0"/>
      <w:divBdr>
        <w:top w:val="none" w:sz="0" w:space="0" w:color="auto"/>
        <w:left w:val="none" w:sz="0" w:space="0" w:color="auto"/>
        <w:bottom w:val="none" w:sz="0" w:space="0" w:color="auto"/>
        <w:right w:val="none" w:sz="0" w:space="0" w:color="auto"/>
      </w:divBdr>
    </w:div>
    <w:div w:id="2078087489">
      <w:bodyDiv w:val="1"/>
      <w:marLeft w:val="0"/>
      <w:marRight w:val="0"/>
      <w:marTop w:val="0"/>
      <w:marBottom w:val="0"/>
      <w:divBdr>
        <w:top w:val="none" w:sz="0" w:space="0" w:color="auto"/>
        <w:left w:val="none" w:sz="0" w:space="0" w:color="auto"/>
        <w:bottom w:val="none" w:sz="0" w:space="0" w:color="auto"/>
        <w:right w:val="none" w:sz="0" w:space="0" w:color="auto"/>
      </w:divBdr>
    </w:div>
    <w:div w:id="21397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chr.org/en/hrbodies/cescr/pages/cescrindex.aspx" TargetMode="External"/><Relationship Id="rId18" Type="http://schemas.openxmlformats.org/officeDocument/2006/relationships/hyperlink" Target="mailto:cedaw@ohchr.org" TargetMode="External"/><Relationship Id="rId26" Type="http://schemas.openxmlformats.org/officeDocument/2006/relationships/hyperlink" Target="mailto:tb-petitions@ohchr.org" TargetMode="External"/><Relationship Id="rId39" Type="http://schemas.openxmlformats.org/officeDocument/2006/relationships/hyperlink" Target="http://www.ohchr.org/EN/HRBodies/SP/Pages/Welcomepage.aspx" TargetMode="External"/><Relationship Id="rId21" Type="http://schemas.openxmlformats.org/officeDocument/2006/relationships/hyperlink" Target="mailto:cerd@ohchr.org" TargetMode="External"/><Relationship Id="rId34" Type="http://schemas.openxmlformats.org/officeDocument/2006/relationships/hyperlink" Target="mailto:ilo@ilo.org" TargetMode="External"/><Relationship Id="rId42" Type="http://schemas.openxmlformats.org/officeDocument/2006/relationships/hyperlink" Target="http://www.ohchr.org/Documents/HRBodies/ComplaintProcedure/HRCComplaintProcedureForm.doc" TargetMode="External"/><Relationship Id="rId47" Type="http://schemas.openxmlformats.org/officeDocument/2006/relationships/hyperlink" Target="http://www.echr.coe.int" TargetMode="External"/><Relationship Id="rId50" Type="http://schemas.openxmlformats.org/officeDocument/2006/relationships/hyperlink" Target="http://www.coe.int/t/dghl/monitoring/socialcharter/ECSR/ECSRdefault_en.asp" TargetMode="External"/><Relationship Id="rId55" Type="http://schemas.openxmlformats.org/officeDocument/2006/relationships/hyperlink" Target="http://www.coe.int/minorities" TargetMode="External"/><Relationship Id="rId7" Type="http://schemas.openxmlformats.org/officeDocument/2006/relationships/footnotes" Target="footnotes.xml"/><Relationship Id="rId12" Type="http://schemas.openxmlformats.org/officeDocument/2006/relationships/hyperlink" Target="mailto:cescr@ohchr.org" TargetMode="External"/><Relationship Id="rId17" Type="http://schemas.openxmlformats.org/officeDocument/2006/relationships/hyperlink" Target="mailto:petitions@ohchr.org" TargetMode="External"/><Relationship Id="rId25" Type="http://schemas.openxmlformats.org/officeDocument/2006/relationships/hyperlink" Target="http://www.ohchr.org/EN/HRBodies/CMW/Pages/CMWIndex.aspx" TargetMode="External"/><Relationship Id="rId33" Type="http://schemas.openxmlformats.org/officeDocument/2006/relationships/hyperlink" Target="http://www.ilo.org/pardev/civil-society/lang--en/index.htm" TargetMode="External"/><Relationship Id="rId38" Type="http://schemas.openxmlformats.org/officeDocument/2006/relationships/hyperlink" Target="http://www.ohchr.org/EN/HRBodies/UPR/Documents/PracticalGuideCivilSociety.pdf" TargetMode="External"/><Relationship Id="rId46" Type="http://schemas.openxmlformats.org/officeDocument/2006/relationships/hyperlink" Target="http://www.echr.coe.int/Pages/home.aspx?p=applicants&amp;c="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hchr.org/EN/HRBodies/CAT/Pages/CATIndex.aspx" TargetMode="External"/><Relationship Id="rId20" Type="http://schemas.openxmlformats.org/officeDocument/2006/relationships/hyperlink" Target="mailto:petitions@ohchr.org" TargetMode="External"/><Relationship Id="rId29" Type="http://schemas.openxmlformats.org/officeDocument/2006/relationships/hyperlink" Target="mailto:petitions@ohchr.org" TargetMode="External"/><Relationship Id="rId41" Type="http://schemas.openxmlformats.org/officeDocument/2006/relationships/hyperlink" Target="http://www.ohchr.org/EN/HRBodies/HRC/AdvisoryCommittee/Pages/NGOParticipation.aspx" TargetMode="External"/><Relationship Id="rId54" Type="http://schemas.openxmlformats.org/officeDocument/2006/relationships/hyperlink" Target="mailto:minorities.fcnm@coe.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itions@ohchr.org" TargetMode="External"/><Relationship Id="rId24" Type="http://schemas.openxmlformats.org/officeDocument/2006/relationships/hyperlink" Target="mailto:cmw@ohchr.org" TargetMode="External"/><Relationship Id="rId32" Type="http://schemas.openxmlformats.org/officeDocument/2006/relationships/hyperlink" Target="mailto:petitions@ohchr.org" TargetMode="External"/><Relationship Id="rId37" Type="http://schemas.openxmlformats.org/officeDocument/2006/relationships/hyperlink" Target="http://www.ohchr.org/EN/HRBodies/UPR/Pages/UPRMain.aspx" TargetMode="External"/><Relationship Id="rId40" Type="http://schemas.openxmlformats.org/officeDocument/2006/relationships/hyperlink" Target="http://www.ohchr.org/EN/HRBodies/SP/Pages/Communications.aspx" TargetMode="External"/><Relationship Id="rId45" Type="http://schemas.openxmlformats.org/officeDocument/2006/relationships/hyperlink" Target="http://csonet.org/" TargetMode="External"/><Relationship Id="rId53" Type="http://schemas.openxmlformats.org/officeDocument/2006/relationships/hyperlink" Target="http://www.coe.int/t/dghl/monitoring/minorities/2_monitoring/ngO_intro_en.asp"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at@ohchr.org" TargetMode="External"/><Relationship Id="rId23" Type="http://schemas.openxmlformats.org/officeDocument/2006/relationships/hyperlink" Target="mailto:petitions@ohchr.org" TargetMode="External"/><Relationship Id="rId28" Type="http://schemas.openxmlformats.org/officeDocument/2006/relationships/hyperlink" Target="http://www.ohchr.org/EN/HRBodies/CRPD/Pages/CRPDIndex.aspx" TargetMode="External"/><Relationship Id="rId36" Type="http://schemas.openxmlformats.org/officeDocument/2006/relationships/hyperlink" Target="http://www.ohchr.org/EN/HRBodies/HRC/Pages/HRCIndex.aspx" TargetMode="External"/><Relationship Id="rId49" Type="http://schemas.openxmlformats.org/officeDocument/2006/relationships/hyperlink" Target="mailto:social.charter@coe.int" TargetMode="External"/><Relationship Id="rId57" Type="http://schemas.openxmlformats.org/officeDocument/2006/relationships/image" Target="media/image1.jpeg"/><Relationship Id="rId10" Type="http://schemas.openxmlformats.org/officeDocument/2006/relationships/hyperlink" Target="http://www.ohchr.org/EN/HRBodies/CCPR/Pages/CCPRIndex.aspx" TargetMode="External"/><Relationship Id="rId19" Type="http://schemas.openxmlformats.org/officeDocument/2006/relationships/hyperlink" Target="http://www.ohchr.org/en/hrbodies/cedaw/pages/cedawindex.aspx" TargetMode="External"/><Relationship Id="rId31" Type="http://schemas.openxmlformats.org/officeDocument/2006/relationships/hyperlink" Target="http://www2.ohchr.org/english/bodies/crc/index.htm" TargetMode="External"/><Relationship Id="rId44" Type="http://schemas.openxmlformats.org/officeDocument/2006/relationships/hyperlink" Target="http://www.ohchr.org/EN/HRBodies/HRC/ComplaintProcedure/Pages/HRCComplaintProcedureIndex.aspx" TargetMode="External"/><Relationship Id="rId52" Type="http://schemas.openxmlformats.org/officeDocument/2006/relationships/hyperlink" Target="http://www.coe.int/cm"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cpr@ohchr.org" TargetMode="External"/><Relationship Id="rId14" Type="http://schemas.openxmlformats.org/officeDocument/2006/relationships/hyperlink" Target="mailto:petitions@ohchr.org" TargetMode="External"/><Relationship Id="rId22" Type="http://schemas.openxmlformats.org/officeDocument/2006/relationships/hyperlink" Target="http://www.ohchr.org/EN/HRBodies/CERD/Pages/CERDIndex.aspx" TargetMode="External"/><Relationship Id="rId27" Type="http://schemas.openxmlformats.org/officeDocument/2006/relationships/hyperlink" Target="mailto:crpd@ohchr.org" TargetMode="External"/><Relationship Id="rId30" Type="http://schemas.openxmlformats.org/officeDocument/2006/relationships/hyperlink" Target="mailto:crc@ohchr.org" TargetMode="External"/><Relationship Id="rId35" Type="http://schemas.openxmlformats.org/officeDocument/2006/relationships/hyperlink" Target="http://www.ilo.org" TargetMode="External"/><Relationship Id="rId43" Type="http://schemas.openxmlformats.org/officeDocument/2006/relationships/hyperlink" Target="mailto:CP@ohchr.org" TargetMode="External"/><Relationship Id="rId48" Type="http://schemas.openxmlformats.org/officeDocument/2006/relationships/hyperlink" Target="http://www.coe.int/t/dghl/monitoring/socialcharter/OrganisationsEntitled/Instructions_en.asp" TargetMode="External"/><Relationship Id="rId56" Type="http://schemas.openxmlformats.org/officeDocument/2006/relationships/hyperlink" Target="http://www.echr.coe.int/Pages/home.aspx?p=applicants&amp;c=" TargetMode="External"/><Relationship Id="rId8" Type="http://schemas.openxmlformats.org/officeDocument/2006/relationships/endnotes" Target="endnotes.xml"/><Relationship Id="rId51" Type="http://schemas.openxmlformats.org/officeDocument/2006/relationships/hyperlink" Target="mailto:cm@coe.int"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echr.coe.int/Documents/Case_processing_ENG.pdf" TargetMode="External"/><Relationship Id="rId2" Type="http://schemas.openxmlformats.org/officeDocument/2006/relationships/hyperlink" Target="http://www.ohchr.org/EN/HRBodies/HRC/ComplaintProcedure/Pages/HRCComplaintProcedureIndex.aspx" TargetMode="External"/><Relationship Id="rId1" Type="http://schemas.openxmlformats.org/officeDocument/2006/relationships/hyperlink" Target="http://treaties.un.org/Pages/Treaties.aspx?id=4&amp;subid=A&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DA20-8C53-438A-A248-C260969A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8296</Words>
  <Characters>47288</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asa58@law.georgetown.edu</dc:creator>
  <cp:lastModifiedBy>Owner</cp:lastModifiedBy>
  <cp:revision>2</cp:revision>
  <cp:lastPrinted>2013-10-28T15:52:00Z</cp:lastPrinted>
  <dcterms:created xsi:type="dcterms:W3CDTF">2016-07-20T03:58:00Z</dcterms:created>
  <dcterms:modified xsi:type="dcterms:W3CDTF">2016-07-20T03:58:00Z</dcterms:modified>
</cp:coreProperties>
</file>